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511" w:rsidRPr="00230093" w:rsidRDefault="00486511" w:rsidP="00A10F5E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</w:rPr>
      </w:pPr>
      <w:r w:rsidRPr="00230093">
        <w:rPr>
          <w:rFonts w:ascii="Times New Roman" w:hAnsi="Times New Roman" w:cs="Times New Roman"/>
          <w:b/>
        </w:rPr>
        <w:t>Приложение № 3а</w:t>
      </w:r>
    </w:p>
    <w:p w:rsidR="00230093" w:rsidRPr="00B00A03" w:rsidRDefault="00CD681F" w:rsidP="00A10F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bg-BG"/>
        </w:rPr>
      </w:pPr>
      <w:r w:rsidRPr="00CD681F">
        <w:rPr>
          <w:rFonts w:ascii="Times New Roman" w:hAnsi="Times New Roman" w:cs="Times New Roman"/>
          <w:b/>
          <w:sz w:val="32"/>
          <w:szCs w:val="32"/>
          <w:lang w:eastAsia="bg-BG"/>
        </w:rPr>
        <w:t xml:space="preserve">Ключови индикатори за изпълнение на политиките и целеви стойности за периода 2023-2025 г. </w:t>
      </w:r>
      <w:r w:rsidR="00230093" w:rsidRPr="00B00A03">
        <w:rPr>
          <w:rFonts w:ascii="Times New Roman" w:hAnsi="Times New Roman" w:cs="Times New Roman"/>
          <w:b/>
          <w:sz w:val="32"/>
          <w:szCs w:val="32"/>
          <w:lang w:eastAsia="bg-BG"/>
        </w:rPr>
        <w:t xml:space="preserve"> </w:t>
      </w:r>
    </w:p>
    <w:p w:rsidR="00230093" w:rsidRPr="00B00A03" w:rsidRDefault="00230093" w:rsidP="00A10F5E">
      <w:pPr>
        <w:pStyle w:val="Heading1"/>
        <w:ind w:firstLine="0"/>
        <w:jc w:val="center"/>
        <w:rPr>
          <w:caps w:val="0"/>
          <w:sz w:val="32"/>
          <w:szCs w:val="32"/>
        </w:rPr>
      </w:pPr>
      <w:r w:rsidRPr="00B00A03">
        <w:rPr>
          <w:caps w:val="0"/>
          <w:sz w:val="32"/>
          <w:szCs w:val="32"/>
        </w:rPr>
        <w:t xml:space="preserve">на </w:t>
      </w:r>
      <w:r w:rsidR="00032557" w:rsidRPr="00B00A03">
        <w:rPr>
          <w:caps w:val="0"/>
          <w:sz w:val="32"/>
          <w:szCs w:val="32"/>
        </w:rPr>
        <w:t>Министерство на регио</w:t>
      </w:r>
      <w:bookmarkStart w:id="0" w:name="_GoBack"/>
      <w:bookmarkEnd w:id="0"/>
      <w:r w:rsidR="00032557" w:rsidRPr="00B00A03">
        <w:rPr>
          <w:caps w:val="0"/>
          <w:sz w:val="32"/>
          <w:szCs w:val="32"/>
        </w:rPr>
        <w:t>налното развитие и благоустройството</w:t>
      </w:r>
    </w:p>
    <w:p w:rsidR="00230093" w:rsidRPr="00410F7A" w:rsidRDefault="00230093" w:rsidP="00A10F5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B2804" w:rsidRDefault="006B2804" w:rsidP="00A10F5E">
      <w:pPr>
        <w:keepNext/>
        <w:snapToGri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i/>
          <w:color w:val="0000CC"/>
        </w:rPr>
      </w:pPr>
      <w:r w:rsidRPr="0025354B">
        <w:rPr>
          <w:rFonts w:ascii="Times New Roman" w:eastAsia="Batang" w:hAnsi="Times New Roman" w:cs="Times New Roman"/>
          <w:b/>
          <w:i/>
          <w:color w:val="0000CC"/>
          <w:lang w:val="ru-RU" w:eastAsia="ko-KR"/>
        </w:rPr>
        <w:t xml:space="preserve">2100.01.00  </w:t>
      </w:r>
      <w:r w:rsidR="00740960" w:rsidRPr="0025354B">
        <w:rPr>
          <w:rFonts w:ascii="Times New Roman" w:eastAsia="Batang" w:hAnsi="Times New Roman" w:cs="Times New Roman"/>
          <w:b/>
          <w:i/>
          <w:color w:val="0000CC"/>
          <w:lang w:eastAsia="ko-KR"/>
        </w:rPr>
        <w:t>„</w:t>
      </w:r>
      <w:r w:rsidRPr="0025354B">
        <w:rPr>
          <w:rFonts w:ascii="Times New Roman" w:eastAsia="Batang" w:hAnsi="Times New Roman" w:cs="Times New Roman"/>
          <w:b/>
          <w:i/>
          <w:color w:val="0000CC"/>
          <w:lang w:val="ru-RU" w:eastAsia="ko-KR"/>
        </w:rPr>
        <w:t>ПОЛИТИКА ЗА ИНТЕГРИРАНО РАЗВИТИЕ НА РЕГИОНИТЕ</w:t>
      </w:r>
      <w:r w:rsidR="00E45996">
        <w:rPr>
          <w:rFonts w:ascii="Times New Roman" w:eastAsia="Batang" w:hAnsi="Times New Roman" w:cs="Times New Roman"/>
          <w:b/>
          <w:i/>
          <w:color w:val="0000CC"/>
          <w:lang w:val="ru-RU" w:eastAsia="ko-KR"/>
        </w:rPr>
        <w:t xml:space="preserve"> ЗА ПОСТИГАНЕ НА РАСТЕЖ И </w:t>
      </w:r>
      <w:r w:rsidRPr="0025354B">
        <w:rPr>
          <w:rFonts w:ascii="Times New Roman" w:eastAsia="Batang" w:hAnsi="Times New Roman" w:cs="Times New Roman"/>
          <w:b/>
          <w:i/>
          <w:color w:val="0000CC"/>
          <w:lang w:val="ru-RU" w:eastAsia="ko-KR"/>
        </w:rPr>
        <w:t>ПОДОБРЯВАНЕ КАЧЕСТВОТО НА ЖИЗНЕНАТА СРЕДА</w:t>
      </w:r>
      <w:r w:rsidR="00740960" w:rsidRPr="0025354B">
        <w:rPr>
          <w:rFonts w:ascii="Times New Roman" w:hAnsi="Times New Roman" w:cs="Times New Roman"/>
          <w:b/>
          <w:i/>
          <w:color w:val="0000CC"/>
        </w:rPr>
        <w:t>“</w:t>
      </w:r>
    </w:p>
    <w:p w:rsidR="00B57C85" w:rsidRPr="0025354B" w:rsidRDefault="00B57C85" w:rsidP="00A10F5E">
      <w:pPr>
        <w:keepNext/>
        <w:snapToGrid w:val="0"/>
        <w:spacing w:after="0" w:line="240" w:lineRule="auto"/>
        <w:ind w:firstLine="567"/>
        <w:jc w:val="both"/>
        <w:outlineLvl w:val="0"/>
        <w:rPr>
          <w:rFonts w:ascii="Times New Roman" w:eastAsia="Batang" w:hAnsi="Times New Roman" w:cs="Times New Roman"/>
          <w:b/>
          <w:i/>
          <w:color w:val="0000CC"/>
          <w:lang w:val="en-US" w:eastAsia="ko-KR"/>
        </w:rPr>
      </w:pPr>
    </w:p>
    <w:p w:rsidR="006B2804" w:rsidRPr="000D135F" w:rsidRDefault="00091C5B" w:rsidP="00A10F5E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0000CC"/>
        </w:rPr>
      </w:pPr>
      <w:r w:rsidRPr="000D135F">
        <w:rPr>
          <w:rFonts w:ascii="Times New Roman" w:hAnsi="Times New Roman" w:cs="Times New Roman"/>
          <w:b/>
          <w:i/>
          <w:color w:val="0000CC"/>
        </w:rPr>
        <w:t>Кратко описание на обхвата на област</w:t>
      </w:r>
      <w:r w:rsidR="00766A55" w:rsidRPr="000D135F">
        <w:rPr>
          <w:rFonts w:ascii="Times New Roman" w:hAnsi="Times New Roman" w:cs="Times New Roman"/>
          <w:b/>
          <w:i/>
          <w:color w:val="0000CC"/>
        </w:rPr>
        <w:t>та на политиката</w:t>
      </w:r>
      <w:r w:rsidRPr="000D135F">
        <w:rPr>
          <w:rFonts w:ascii="Times New Roman" w:hAnsi="Times New Roman" w:cs="Times New Roman"/>
          <w:b/>
          <w:i/>
          <w:color w:val="0000CC"/>
        </w:rPr>
        <w:t>, за ко</w:t>
      </w:r>
      <w:r w:rsidR="00766A55" w:rsidRPr="000D135F">
        <w:rPr>
          <w:rFonts w:ascii="Times New Roman" w:hAnsi="Times New Roman" w:cs="Times New Roman"/>
          <w:b/>
          <w:i/>
          <w:color w:val="0000CC"/>
        </w:rPr>
        <w:t>ято</w:t>
      </w:r>
      <w:r w:rsidRPr="000D135F">
        <w:rPr>
          <w:rFonts w:ascii="Times New Roman" w:hAnsi="Times New Roman" w:cs="Times New Roman"/>
          <w:b/>
          <w:i/>
          <w:color w:val="0000CC"/>
        </w:rPr>
        <w:t xml:space="preserve"> ПРБ отговаря</w:t>
      </w:r>
    </w:p>
    <w:p w:rsidR="00B169A3" w:rsidRPr="000D135F" w:rsidRDefault="00B169A3" w:rsidP="00B169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>Политиката в областта на интегрирано развитие на регионите, ефективно и ефикасно използване на публичните финанси и финансовите инструменти за постигане на растеж и подобряване качеството на жизнената среда е насочена към подобряване качеството на жизнената среда на българските граждани и превръщането на регионите в привлекателно място за инвестиции и бизнес, както и прилагане на целенасочени мерки за подпомагане на регионите, изоставащи с развитието си, като се отчитат специфичните им нужди и местния потенциал за развитие.  Ключовите индикатори за изпълнение на политиката са в съответствие с целите на Националната програма за развитие: БЪЛГАРИЯ 2030 и в този смисъл не е необходимо да бъдат актуализирани.</w:t>
      </w:r>
    </w:p>
    <w:p w:rsidR="00B169A3" w:rsidRPr="000D135F" w:rsidRDefault="00B169A3" w:rsidP="00B169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>Желаният резултат ще се постигне чрез интегрирани действия в различни области на развитие, насочени в един фокус – сближаване.</w:t>
      </w:r>
    </w:p>
    <w:p w:rsidR="00B169A3" w:rsidRPr="000D135F" w:rsidRDefault="00B169A3" w:rsidP="00B169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>Сближаването има три аспекта – икономическо, социално и териториално сближаване, както и три нива – европейско – с регионите на ЕС, национално – между българските райони и вътрешно регионално – между общините в отделните райони.</w:t>
      </w:r>
    </w:p>
    <w:p w:rsidR="00B169A3" w:rsidRPr="000D135F" w:rsidRDefault="00B169A3" w:rsidP="00B169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 xml:space="preserve">Визията за развитието на политиката е тясно обвързана с мерките, определени в Приоритет 5 „Балансирано регионално развитие“ от програмата за управление на Правителството на Република България за периода 2017-2021, както и с приоритетите на министерството, съгласно стратегическите документи в областта на регионалното развитие и ефективното усвояване на ресурсите на оперативните програми. </w:t>
      </w:r>
    </w:p>
    <w:p w:rsidR="00A5027A" w:rsidRPr="000D135F" w:rsidRDefault="005B4591" w:rsidP="00B169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0D135F">
        <w:rPr>
          <w:rFonts w:ascii="Times New Roman" w:eastAsia="Times New Roman" w:hAnsi="Times New Roman" w:cs="Times New Roman"/>
          <w:b/>
          <w:i/>
          <w:lang w:eastAsia="bg-BG"/>
        </w:rPr>
        <w:t>Главна дирекция „Стратегическо планиране и програми за регионално развитие“</w:t>
      </w:r>
      <w:r w:rsidRPr="000D135F">
        <w:rPr>
          <w:rFonts w:ascii="Times New Roman" w:eastAsia="Times New Roman" w:hAnsi="Times New Roman" w:cs="Times New Roman"/>
          <w:b/>
          <w:lang w:eastAsia="bg-BG"/>
        </w:rPr>
        <w:t xml:space="preserve"> </w:t>
      </w:r>
    </w:p>
    <w:p w:rsidR="00B169A3" w:rsidRPr="000D135F" w:rsidRDefault="00B169A3" w:rsidP="00B169A3">
      <w:pPr>
        <w:pStyle w:val="ListParagraph"/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0D135F">
        <w:rPr>
          <w:rFonts w:ascii="Times New Roman" w:eastAsia="Calibri" w:hAnsi="Times New Roman" w:cs="Times New Roman"/>
        </w:rPr>
        <w:t>Главна дирекция „Стратегическо планиране и програми за регионално развитие“ провежда политика за регионално развитие, която да създава условия за балансирано и устойчиво интегрирано развитие на регионите в България, както и превръщането им в по-привлекателни места за живеене и работа</w:t>
      </w:r>
      <w:r w:rsidRPr="000D135F">
        <w:rPr>
          <w:rFonts w:ascii="Times New Roman" w:eastAsia="Calibri" w:hAnsi="Times New Roman" w:cs="Times New Roman"/>
          <w:lang w:val="en-US"/>
        </w:rPr>
        <w:t>,</w:t>
      </w:r>
      <w:r w:rsidRPr="000D135F">
        <w:rPr>
          <w:rFonts w:ascii="Times New Roman" w:eastAsia="Calibri" w:hAnsi="Times New Roman" w:cs="Times New Roman"/>
        </w:rPr>
        <w:t xml:space="preserve"> чрез подобряване на средата за живеене и бизнес, транспортната свързаност, достъпа до публични услуги, повишаване на трудовата заетост и съхраняване на природната среда и опазване на културната им идентичност.</w:t>
      </w:r>
      <w:r w:rsidRPr="000D135F">
        <w:rPr>
          <w:rFonts w:ascii="Times New Roman" w:eastAsia="Calibri" w:hAnsi="Times New Roman" w:cs="Times New Roman"/>
          <w:lang w:val="en-US"/>
        </w:rPr>
        <w:t xml:space="preserve"> </w:t>
      </w:r>
      <w:r w:rsidRPr="000D135F">
        <w:rPr>
          <w:rFonts w:ascii="Times New Roman" w:eastAsia="Calibri" w:hAnsi="Times New Roman" w:cs="Times New Roman"/>
        </w:rPr>
        <w:t xml:space="preserve">Развитието на политиката обхваща и: </w:t>
      </w:r>
    </w:p>
    <w:p w:rsidR="00B169A3" w:rsidRPr="000D135F" w:rsidRDefault="00B169A3" w:rsidP="00427DEA">
      <w:pPr>
        <w:pStyle w:val="ListParagraph"/>
        <w:numPr>
          <w:ilvl w:val="0"/>
          <w:numId w:val="13"/>
        </w:numPr>
        <w:tabs>
          <w:tab w:val="left" w:pos="709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lang w:val="en-US"/>
        </w:rPr>
      </w:pPr>
      <w:r w:rsidRPr="000D135F">
        <w:rPr>
          <w:rFonts w:ascii="Times New Roman" w:eastAsia="Calibri" w:hAnsi="Times New Roman" w:cs="Times New Roman"/>
        </w:rPr>
        <w:t>разработване и изпълнение на система от нормативно регламентирани стратегически документи, в които са формулирани цели и приоритети за устойчиво регионално развитие, с цел постигане на интелигентен, устойчив и приобщаващ растеж и висока заетост в районите, в административно – териториалните и в териториалните единици;</w:t>
      </w:r>
    </w:p>
    <w:p w:rsidR="00B169A3" w:rsidRPr="000D135F" w:rsidRDefault="00B169A3" w:rsidP="00427DEA">
      <w:pPr>
        <w:pStyle w:val="ListParagraph"/>
        <w:numPr>
          <w:ilvl w:val="0"/>
          <w:numId w:val="13"/>
        </w:numPr>
        <w:tabs>
          <w:tab w:val="left" w:pos="709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0D135F">
        <w:rPr>
          <w:rFonts w:ascii="Times New Roman" w:eastAsia="Calibri" w:hAnsi="Times New Roman" w:cs="Times New Roman"/>
        </w:rPr>
        <w:t>разработване и прилагане на целенасочени мерки за подпомагане развитието на регионите, изоставащи развитието си, като се отчитат специфичните им нужди и местния потенциал за развитие;</w:t>
      </w:r>
    </w:p>
    <w:p w:rsidR="00B169A3" w:rsidRPr="000D135F" w:rsidRDefault="00B169A3" w:rsidP="00427DEA">
      <w:pPr>
        <w:pStyle w:val="ListParagraph"/>
        <w:numPr>
          <w:ilvl w:val="0"/>
          <w:numId w:val="13"/>
        </w:numPr>
        <w:tabs>
          <w:tab w:val="left" w:pos="709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0D135F">
        <w:rPr>
          <w:rFonts w:ascii="Times New Roman" w:eastAsia="Calibri" w:hAnsi="Times New Roman" w:cs="Times New Roman"/>
        </w:rPr>
        <w:t>насърчаване на регионалното и местно развитие и подобряване съгласуваността на политиката за регионално развитие с другите структуроопределящи политики.</w:t>
      </w:r>
    </w:p>
    <w:p w:rsidR="00B7195F" w:rsidRPr="000D135F" w:rsidRDefault="00AD3BB2" w:rsidP="00B7195F">
      <w:pPr>
        <w:pStyle w:val="ListParagraph"/>
        <w:tabs>
          <w:tab w:val="left" w:pos="851"/>
        </w:tabs>
        <w:spacing w:after="0" w:line="240" w:lineRule="auto"/>
        <w:ind w:hanging="153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b/>
          <w:i/>
          <w:lang w:eastAsia="bg-BG"/>
        </w:rPr>
        <w:t>Дирекция „У</w:t>
      </w:r>
      <w:r w:rsidR="008C4D1B" w:rsidRPr="000D135F">
        <w:rPr>
          <w:rFonts w:ascii="Times New Roman" w:eastAsia="Times New Roman" w:hAnsi="Times New Roman" w:cs="Times New Roman"/>
          <w:b/>
          <w:i/>
          <w:lang w:eastAsia="bg-BG"/>
        </w:rPr>
        <w:t>правление на териториалното сътрудничество</w:t>
      </w:r>
      <w:r w:rsidRPr="000D135F">
        <w:rPr>
          <w:rFonts w:ascii="Times New Roman" w:eastAsia="Times New Roman" w:hAnsi="Times New Roman" w:cs="Times New Roman"/>
          <w:b/>
          <w:i/>
          <w:lang w:eastAsia="bg-BG"/>
        </w:rPr>
        <w:t>“</w:t>
      </w:r>
      <w:r w:rsidR="008C4D1B" w:rsidRPr="000D135F">
        <w:rPr>
          <w:rFonts w:ascii="Times New Roman" w:eastAsia="Times New Roman" w:hAnsi="Times New Roman" w:cs="Times New Roman"/>
          <w:lang w:eastAsia="bg-BG"/>
        </w:rPr>
        <w:t xml:space="preserve"> </w:t>
      </w:r>
    </w:p>
    <w:p w:rsidR="00B7195F" w:rsidRPr="000D135F" w:rsidRDefault="00B7195F" w:rsidP="00B7195F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>Подпомагане на икономическото и социално развитие на трансграничните региони и намаляване на регионалните различия‚ посредством подобряване на инфраструктурата в граничните райони, опазване на околната среда, насърчаване на сътрудничество между регионите, устойчиво използване на природните и културните ресурси, насърчаване на съвместното трансгранично сътрудничество, разширяване на трансгранични икономически дейности, социалното предприемачество и здравна помощ; Развитие на транснационално и междурегионално сътрудничество в следните приоритети: иновации, околна среда, туризъм, достъпност и устойчиво градско развитие.</w:t>
      </w:r>
    </w:p>
    <w:p w:rsidR="00BE6F44" w:rsidRPr="000D135F" w:rsidRDefault="00912442" w:rsidP="00B7195F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  <w:b/>
          <w:i/>
        </w:rPr>
        <w:t>Дирекция „Жилищна политика“</w:t>
      </w:r>
      <w:r w:rsidRPr="000D135F">
        <w:rPr>
          <w:rFonts w:ascii="Times New Roman" w:hAnsi="Times New Roman" w:cs="Times New Roman"/>
        </w:rPr>
        <w:t xml:space="preserve"> </w:t>
      </w:r>
    </w:p>
    <w:p w:rsidR="000D135F" w:rsidRPr="000D135F" w:rsidRDefault="000D135F" w:rsidP="000D135F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 xml:space="preserve">Обновяването на жилищния сграден фонд е сред политическите приоритети, като има пряко отношение към основните аспекти и изисквания на устойчивото развитие. Подобряването на енергийната ефективност в жилищния сектор е от особена важност предвид достигнатата висока </w:t>
      </w:r>
      <w:r w:rsidRPr="000D135F">
        <w:rPr>
          <w:rFonts w:ascii="Times New Roman" w:hAnsi="Times New Roman" w:cs="Times New Roman"/>
        </w:rPr>
        <w:lastRenderedPageBreak/>
        <w:t>степен на амортизация и едновременно с това очерталата се тенденция на високо неефективно потребление на електроенергия в жилищните сгради.</w:t>
      </w:r>
    </w:p>
    <w:p w:rsidR="000D135F" w:rsidRPr="000D135F" w:rsidRDefault="000D135F" w:rsidP="000D135F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 xml:space="preserve"> За изпълнение целите на политиката допринасят:</w:t>
      </w:r>
    </w:p>
    <w:p w:rsidR="000D135F" w:rsidRPr="000D135F" w:rsidRDefault="000D135F" w:rsidP="000D135F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>-</w:t>
      </w:r>
      <w:r w:rsidRPr="000D135F">
        <w:rPr>
          <w:rFonts w:ascii="Times New Roman" w:hAnsi="Times New Roman" w:cs="Times New Roman"/>
        </w:rPr>
        <w:tab/>
        <w:t>Национална програма за енергийна ефективност на многофамилни жилищни сгради (Приета с ПМС № 18/2015 г.) – в процес на изпълнение.</w:t>
      </w:r>
    </w:p>
    <w:p w:rsidR="000D135F" w:rsidRPr="000D135F" w:rsidRDefault="000D135F" w:rsidP="000D135F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>-</w:t>
      </w:r>
      <w:r w:rsidRPr="000D135F">
        <w:rPr>
          <w:rFonts w:ascii="Times New Roman" w:hAnsi="Times New Roman" w:cs="Times New Roman"/>
        </w:rPr>
        <w:tab/>
        <w:t xml:space="preserve">Инвестиция „Подкрепа за устойчиво енергийно обновяване на сграден фонд“, </w:t>
      </w:r>
      <w:proofErr w:type="spellStart"/>
      <w:r w:rsidRPr="000D135F">
        <w:rPr>
          <w:rFonts w:ascii="Times New Roman" w:hAnsi="Times New Roman" w:cs="Times New Roman"/>
        </w:rPr>
        <w:t>подмярка</w:t>
      </w:r>
      <w:proofErr w:type="spellEnd"/>
      <w:r w:rsidRPr="000D135F">
        <w:rPr>
          <w:rFonts w:ascii="Times New Roman" w:hAnsi="Times New Roman" w:cs="Times New Roman"/>
        </w:rPr>
        <w:t xml:space="preserve"> „Подкрепа за устойчиво енергийно обновяване на жилищния сграден фонд“ по Националния план за възстановяване и устойчивост – в процес на структуриране.</w:t>
      </w:r>
    </w:p>
    <w:p w:rsidR="000D135F" w:rsidRPr="000D135F" w:rsidRDefault="000D135F" w:rsidP="000D135F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 xml:space="preserve">Националната програма за енергийна ефективност на многофамилни жилищни сгради (НПЕЕМЖС) приета с ПМС № 18/2015 г. е насочена към обновяване на многофамилни жилищни сгради, като с нея се цели чрез изпълнение на мерки за енергийна ефективност да се осигурят по-добри условия на живот за гражданите в многофамилни жилищни сгради, топлинен комфорт и по-високо качество на жизнената среда. </w:t>
      </w:r>
    </w:p>
    <w:p w:rsidR="00F42448" w:rsidRPr="00F42448" w:rsidRDefault="000D135F" w:rsidP="00F42448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0D135F">
        <w:rPr>
          <w:rFonts w:ascii="Times New Roman" w:hAnsi="Times New Roman" w:cs="Times New Roman"/>
        </w:rPr>
        <w:t>Подмярка</w:t>
      </w:r>
      <w:proofErr w:type="spellEnd"/>
      <w:r w:rsidRPr="000D135F">
        <w:rPr>
          <w:rFonts w:ascii="Times New Roman" w:hAnsi="Times New Roman" w:cs="Times New Roman"/>
        </w:rPr>
        <w:t xml:space="preserve"> П9а „Подкрепа за устойчиво енергийно обновяване на жилищния сграден фонд“ по Националния план за възстановяване и устойчивост ще се изпълнява на територията на цялата страна с активно участие на сдруженията на собствениците, общинските администрации, външни изпълнители на дейностите по енергийно </w:t>
      </w:r>
      <w:r w:rsidR="00F42448">
        <w:rPr>
          <w:rFonts w:ascii="Times New Roman" w:hAnsi="Times New Roman" w:cs="Times New Roman"/>
        </w:rPr>
        <w:t xml:space="preserve">обновяване на жилищните сгради. </w:t>
      </w:r>
      <w:proofErr w:type="spellStart"/>
      <w:r w:rsidR="00F42448" w:rsidRPr="00F42448">
        <w:rPr>
          <w:rFonts w:ascii="Times New Roman" w:hAnsi="Times New Roman" w:cs="Times New Roman"/>
        </w:rPr>
        <w:t>Подмярка</w:t>
      </w:r>
      <w:proofErr w:type="spellEnd"/>
      <w:r w:rsidR="00F42448" w:rsidRPr="00F42448">
        <w:rPr>
          <w:rFonts w:ascii="Times New Roman" w:hAnsi="Times New Roman" w:cs="Times New Roman"/>
        </w:rPr>
        <w:t xml:space="preserve"> П9а предвижда въвеждането на модел на предоставяне на финансова помощ за обновяване на многофамилни жилищни сгради в режим на етажна собственост, разделен в два етапа на кандидатстване с намаляващ интензитет на </w:t>
      </w:r>
      <w:proofErr w:type="spellStart"/>
      <w:r w:rsidR="00F42448" w:rsidRPr="00F42448">
        <w:rPr>
          <w:rFonts w:ascii="Times New Roman" w:hAnsi="Times New Roman" w:cs="Times New Roman"/>
        </w:rPr>
        <w:t>грантовата</w:t>
      </w:r>
      <w:proofErr w:type="spellEnd"/>
      <w:r w:rsidR="00F42448" w:rsidRPr="00F42448">
        <w:rPr>
          <w:rFonts w:ascii="Times New Roman" w:hAnsi="Times New Roman" w:cs="Times New Roman"/>
        </w:rPr>
        <w:t xml:space="preserve"> финансова помощ. За етап 1 при кандидатстването на сдруженията до март 2023 г. е предвидено 100% безвъзмездна финансова помощ за обновителните дейности. За етап 2 срокът за кандидатстване е от април 2023 г. до декември 2023 г. с предоставяне на 80% безвъзмездна финансова помощ (БФП) за обновителните дейности и 20% </w:t>
      </w:r>
      <w:proofErr w:type="spellStart"/>
      <w:r w:rsidR="00F42448" w:rsidRPr="00F42448">
        <w:rPr>
          <w:rFonts w:ascii="Times New Roman" w:hAnsi="Times New Roman" w:cs="Times New Roman"/>
        </w:rPr>
        <w:t>самоучастие</w:t>
      </w:r>
      <w:proofErr w:type="spellEnd"/>
      <w:r w:rsidR="00F42448" w:rsidRPr="00F42448">
        <w:rPr>
          <w:rFonts w:ascii="Times New Roman" w:hAnsi="Times New Roman" w:cs="Times New Roman"/>
        </w:rPr>
        <w:t xml:space="preserve"> на сдруженията. Предвижда се финансовото си </w:t>
      </w:r>
      <w:proofErr w:type="spellStart"/>
      <w:r w:rsidR="00F42448" w:rsidRPr="00F42448">
        <w:rPr>
          <w:rFonts w:ascii="Times New Roman" w:hAnsi="Times New Roman" w:cs="Times New Roman"/>
        </w:rPr>
        <w:t>самоучастие</w:t>
      </w:r>
      <w:proofErr w:type="spellEnd"/>
      <w:r w:rsidR="00F42448" w:rsidRPr="00F42448">
        <w:rPr>
          <w:rFonts w:ascii="Times New Roman" w:hAnsi="Times New Roman" w:cs="Times New Roman"/>
        </w:rPr>
        <w:t xml:space="preserve"> сдруженията на собствениците при желание от тяхна страна да бъдат подпомогнати чрез финансов механизъм. </w:t>
      </w:r>
    </w:p>
    <w:p w:rsidR="00F42448" w:rsidRPr="00F42448" w:rsidRDefault="00F42448" w:rsidP="00F42448">
      <w:pPr>
        <w:pStyle w:val="ListParagraph"/>
        <w:spacing w:before="120" w:after="120"/>
        <w:ind w:left="0" w:firstLine="567"/>
        <w:jc w:val="both"/>
        <w:rPr>
          <w:rFonts w:ascii="Times New Roman" w:hAnsi="Times New Roman" w:cs="Times New Roman"/>
        </w:rPr>
      </w:pPr>
      <w:r w:rsidRPr="00F42448">
        <w:rPr>
          <w:rFonts w:ascii="Times New Roman" w:hAnsi="Times New Roman" w:cs="Times New Roman"/>
        </w:rPr>
        <w:t xml:space="preserve">В процеса на изпълнение на </w:t>
      </w:r>
      <w:proofErr w:type="spellStart"/>
      <w:r w:rsidRPr="00F42448">
        <w:rPr>
          <w:rFonts w:ascii="Times New Roman" w:hAnsi="Times New Roman" w:cs="Times New Roman"/>
        </w:rPr>
        <w:t>подмярка</w:t>
      </w:r>
      <w:proofErr w:type="spellEnd"/>
      <w:r w:rsidRPr="00F42448">
        <w:rPr>
          <w:rFonts w:ascii="Times New Roman" w:hAnsi="Times New Roman" w:cs="Times New Roman"/>
        </w:rPr>
        <w:t xml:space="preserve"> П9а в рамките на първи етап се предвижда цялостното обновяване на допустимите жилищните сгради да се финансира с безвъзмездна финансова помощ, като съответния регламентиран размер на ДДС се счита за невъзстановим и се поема от бюджета на Р България.</w:t>
      </w:r>
    </w:p>
    <w:p w:rsidR="00F42448" w:rsidRDefault="00F42448" w:rsidP="00F42448">
      <w:pPr>
        <w:pStyle w:val="ListParagraph"/>
        <w:spacing w:before="120" w:after="120"/>
        <w:ind w:left="0" w:firstLine="567"/>
        <w:jc w:val="both"/>
        <w:rPr>
          <w:rFonts w:ascii="Times New Roman" w:hAnsi="Times New Roman" w:cs="Times New Roman"/>
        </w:rPr>
      </w:pPr>
      <w:r w:rsidRPr="00F42448">
        <w:rPr>
          <w:rFonts w:ascii="Times New Roman" w:hAnsi="Times New Roman" w:cs="Times New Roman"/>
        </w:rPr>
        <w:t xml:space="preserve">През втория етап на изпълнение се предвижда въвеждане на 20% </w:t>
      </w:r>
      <w:proofErr w:type="spellStart"/>
      <w:r w:rsidRPr="00F42448">
        <w:rPr>
          <w:rFonts w:ascii="Times New Roman" w:hAnsi="Times New Roman" w:cs="Times New Roman"/>
        </w:rPr>
        <w:t>самоучастие</w:t>
      </w:r>
      <w:proofErr w:type="spellEnd"/>
      <w:r w:rsidRPr="00F42448">
        <w:rPr>
          <w:rFonts w:ascii="Times New Roman" w:hAnsi="Times New Roman" w:cs="Times New Roman"/>
        </w:rPr>
        <w:t xml:space="preserve"> от цялата инвестиция по обновяване на жилищната сграда, осигурена от сдружението на собствениците, като останалите средства представляват безвъзмездна финансова помощ и невъзстановимо ДДС, осигурено чрез държавния бюджет.</w:t>
      </w:r>
    </w:p>
    <w:p w:rsidR="000D135F" w:rsidRDefault="000D135F" w:rsidP="000D135F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>В допълнение Националната жилищна стратегия определя общата рамка за развитие на жилищния сектор. Предвидено е тя да се реализира с национални/целеви програми, насочени към изпълнение на специфичните цели. Предвижда се програмният пакет ще се насочи към изграждане на рамката на националната жилищна система и решаване на приоритетните ѝ проблеми, като част от тях включват  реализирането на специфични дейности по подобряване на жилищните условия на населението.</w:t>
      </w:r>
    </w:p>
    <w:p w:rsidR="0017044D" w:rsidRPr="000D135F" w:rsidRDefault="0017044D" w:rsidP="000D135F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</w:rPr>
      </w:pPr>
      <w:r w:rsidRPr="000D135F">
        <w:rPr>
          <w:rFonts w:ascii="Times New Roman" w:hAnsi="Times New Roman" w:cs="Times New Roman"/>
          <w:b/>
          <w:i/>
        </w:rPr>
        <w:t>Дирекция „Устройство на територията и административно – териториално устройство“</w:t>
      </w:r>
    </w:p>
    <w:p w:rsidR="0017044D" w:rsidRPr="000D135F" w:rsidRDefault="0017044D" w:rsidP="00B7195F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>Балансирано административно-териториално устройство, развитие и подпомагане на местното самоуправление в България, децентрализация на държавното управление, включително финансова децентрализация, насърчаване на доброто демократично управление на местно ниво в контекста на европейските принципи и стандарти, координиране на дейността по участието на българските делегации в Конгреса на местните и регионалните власти на Съвета на Европа и Комитета на регионите в Европейския съюз, разработване и изпълнение на проекти, съфинансирани от фондовете на Европейския съюз.</w:t>
      </w:r>
    </w:p>
    <w:p w:rsidR="00211B4A" w:rsidRPr="000D135F" w:rsidRDefault="00211B4A" w:rsidP="00B169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0D135F">
        <w:rPr>
          <w:rFonts w:ascii="Times New Roman" w:hAnsi="Times New Roman" w:cs="Times New Roman"/>
          <w:b/>
          <w:i/>
        </w:rPr>
        <w:t>Стратегически цели</w:t>
      </w:r>
    </w:p>
    <w:p w:rsidR="00B169A3" w:rsidRPr="000D135F" w:rsidRDefault="00B169A3" w:rsidP="00B169A3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>Създаване на условия за постигане на устойчиво интегрирано развитие на регионите и общините в страната чрез прилагане на стратегически подход и усъвършенствани правила за планиране, наблюдение и оценка, партньорство, ефективно и ефикасно управление на ресурсите;</w:t>
      </w:r>
    </w:p>
    <w:p w:rsidR="00B169A3" w:rsidRPr="000D135F" w:rsidRDefault="00B169A3" w:rsidP="00B169A3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>Икономическо сближаване в европейски, национален и вътрешнорегионален план, чрез развитие на собствения потенциал на регионите и опазване на околната среда;</w:t>
      </w:r>
    </w:p>
    <w:p w:rsidR="00B169A3" w:rsidRPr="000D135F" w:rsidRDefault="00B169A3" w:rsidP="00B169A3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lastRenderedPageBreak/>
        <w:t>Социално сближаване и намаляване на регионалните диспропорции в социалната сфера, чрез създаване на условия за развитие и реализация на човешкия капитал;</w:t>
      </w:r>
    </w:p>
    <w:p w:rsidR="00B169A3" w:rsidRPr="000D135F" w:rsidRDefault="00B169A3" w:rsidP="00B169A3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>Балансирано териториално развитие, чрез укрепване на мрежата от градове-центрове, подобряване свързаността в регионите и качествот</w:t>
      </w:r>
      <w:r w:rsidR="00A12862" w:rsidRPr="000D135F">
        <w:rPr>
          <w:rFonts w:ascii="Times New Roman" w:hAnsi="Times New Roman" w:cs="Times New Roman"/>
        </w:rPr>
        <w:t>о на средата в населените места;</w:t>
      </w:r>
    </w:p>
    <w:p w:rsidR="00A12862" w:rsidRPr="000D135F" w:rsidRDefault="00A12862" w:rsidP="00A12862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>Създаване на съвременна нормативна база, подобрена междуинституционална координация и сътрудничество със заинтересованите страни, както и привличане на повече ресурси за реформиране и модернизиране на досегашните стандарти и политики в областта на административното деление и териториалното управление, децентрализацията и развитието на местното самоуправление и местната демокрация.</w:t>
      </w:r>
    </w:p>
    <w:p w:rsidR="00B169A3" w:rsidRPr="000D135F" w:rsidRDefault="00B169A3" w:rsidP="00B169A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</w:rPr>
      </w:pPr>
      <w:r w:rsidRPr="000D135F">
        <w:rPr>
          <w:rFonts w:ascii="Times New Roman" w:hAnsi="Times New Roman" w:cs="Times New Roman"/>
          <w:b/>
          <w:i/>
        </w:rPr>
        <w:t>Оперативни цели</w:t>
      </w:r>
    </w:p>
    <w:p w:rsidR="00B169A3" w:rsidRPr="000D135F" w:rsidRDefault="00B169A3" w:rsidP="00B169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>•</w:t>
      </w:r>
      <w:r w:rsidRPr="000D135F">
        <w:rPr>
          <w:rFonts w:ascii="Times New Roman" w:hAnsi="Times New Roman" w:cs="Times New Roman"/>
        </w:rPr>
        <w:tab/>
        <w:t>Създаване на стратегическа планова и нормативна база за намаляване на междурегионалните и вътрешнорегионалните различия в нивата на икономическо, социално и териториално развитие на районите и доближаване до средните нива в ЕС;</w:t>
      </w:r>
    </w:p>
    <w:p w:rsidR="00B169A3" w:rsidRPr="000D135F" w:rsidRDefault="00B169A3" w:rsidP="00B169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>•</w:t>
      </w:r>
      <w:r w:rsidRPr="000D135F">
        <w:rPr>
          <w:rFonts w:ascii="Times New Roman" w:hAnsi="Times New Roman" w:cs="Times New Roman"/>
        </w:rPr>
        <w:tab/>
        <w:t>Повишаване качеството на живот с оглед преодоляване на отрицателните демографски тенденции и използване потенциала на градовете за балансирано развитие на цялата територия на страната;</w:t>
      </w:r>
    </w:p>
    <w:p w:rsidR="00B169A3" w:rsidRPr="000D135F" w:rsidRDefault="00B169A3" w:rsidP="00B169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>•</w:t>
      </w:r>
      <w:r w:rsidRPr="000D135F">
        <w:rPr>
          <w:rFonts w:ascii="Times New Roman" w:hAnsi="Times New Roman" w:cs="Times New Roman"/>
        </w:rPr>
        <w:tab/>
        <w:t>Повишаване на качеството на живот, социално включване, и подобряване на  екологичната среда, чрез благоустрояване на физическата среда в градовете;</w:t>
      </w:r>
    </w:p>
    <w:p w:rsidR="00B169A3" w:rsidRPr="000D135F" w:rsidRDefault="00B169A3" w:rsidP="00B169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>•</w:t>
      </w:r>
      <w:r w:rsidRPr="000D135F">
        <w:rPr>
          <w:rFonts w:ascii="Times New Roman" w:hAnsi="Times New Roman" w:cs="Times New Roman"/>
        </w:rPr>
        <w:tab/>
        <w:t xml:space="preserve">Намаляване броя на преждевременно отпадналите от училище, чрез инвестиции </w:t>
      </w:r>
    </w:p>
    <w:p w:rsidR="00B169A3" w:rsidRPr="000D135F" w:rsidRDefault="00B169A3" w:rsidP="00B169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>•</w:t>
      </w:r>
      <w:r w:rsidRPr="000D135F">
        <w:rPr>
          <w:rFonts w:ascii="Times New Roman" w:hAnsi="Times New Roman" w:cs="Times New Roman"/>
        </w:rPr>
        <w:tab/>
        <w:t>Ефективно управление и изпълнение на Оперативна програма „Региони в растеж“ 2014-2020 г. и Програма „Развитие на регионите“ 2021-2027 г.  в подкрепа на поставените стратегически цели за реализация на държавната политика за регионално развитие.</w:t>
      </w:r>
    </w:p>
    <w:p w:rsidR="00A10F5E" w:rsidRPr="000D135F" w:rsidRDefault="00B169A3" w:rsidP="00B169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>•</w:t>
      </w:r>
      <w:r w:rsidRPr="000D135F">
        <w:rPr>
          <w:rFonts w:ascii="Times New Roman" w:hAnsi="Times New Roman" w:cs="Times New Roman"/>
        </w:rPr>
        <w:tab/>
        <w:t>Укрепване на сътрудничеството и комуникацията с партньорите от ЕС и с другите заинтересовани страни, гарантиране на прозрачност в работата и преодоляване на корупционните практики;</w:t>
      </w:r>
    </w:p>
    <w:p w:rsidR="006A4CE0" w:rsidRPr="000D135F" w:rsidRDefault="00766A55" w:rsidP="00A10F5E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0000CC"/>
        </w:rPr>
      </w:pPr>
      <w:r w:rsidRPr="000D135F">
        <w:rPr>
          <w:rFonts w:ascii="Times New Roman" w:hAnsi="Times New Roman" w:cs="Times New Roman"/>
          <w:b/>
          <w:i/>
          <w:color w:val="0000CC"/>
        </w:rPr>
        <w:t>Отговорност</w:t>
      </w:r>
      <w:r w:rsidR="00D545AA" w:rsidRPr="000D135F">
        <w:rPr>
          <w:rFonts w:ascii="Times New Roman" w:hAnsi="Times New Roman" w:cs="Times New Roman"/>
          <w:b/>
          <w:i/>
          <w:color w:val="0000CC"/>
        </w:rPr>
        <w:t xml:space="preserve"> </w:t>
      </w:r>
      <w:r w:rsidR="00AE0B4B" w:rsidRPr="000D135F">
        <w:rPr>
          <w:rFonts w:ascii="Times New Roman" w:hAnsi="Times New Roman" w:cs="Times New Roman"/>
          <w:b/>
          <w:i/>
          <w:color w:val="0000CC"/>
        </w:rPr>
        <w:t>за</w:t>
      </w:r>
      <w:r w:rsidR="00091C5B" w:rsidRPr="000D135F">
        <w:rPr>
          <w:rFonts w:ascii="Times New Roman" w:hAnsi="Times New Roman" w:cs="Times New Roman"/>
          <w:b/>
          <w:i/>
          <w:color w:val="0000CC"/>
        </w:rPr>
        <w:t xml:space="preserve"> разпределението на публичните разходи</w:t>
      </w:r>
      <w:r w:rsidR="00AE0B4B" w:rsidRPr="000D135F">
        <w:rPr>
          <w:rFonts w:ascii="Times New Roman" w:hAnsi="Times New Roman" w:cs="Times New Roman"/>
          <w:b/>
          <w:i/>
          <w:color w:val="0000CC"/>
        </w:rPr>
        <w:t xml:space="preserve"> за политиката</w:t>
      </w:r>
    </w:p>
    <w:p w:rsidR="006A4CE0" w:rsidRPr="000D135F" w:rsidRDefault="006A4CE0" w:rsidP="00A10F5E">
      <w:pPr>
        <w:pStyle w:val="ListParagraph"/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b/>
          <w:i/>
          <w:color w:val="0000CC"/>
        </w:rPr>
      </w:pPr>
      <w:r w:rsidRPr="000D135F">
        <w:rPr>
          <w:rFonts w:ascii="Times New Roman" w:hAnsi="Times New Roman" w:cs="Times New Roman"/>
          <w:b/>
          <w:i/>
          <w:color w:val="0000CC"/>
        </w:rPr>
        <w:t xml:space="preserve"> Консолидирани разходи по политиката, които ПРБ разходва пряко чрез бюджета и отговаря за разпределението/разчитането на</w:t>
      </w:r>
      <w:r w:rsidR="00574848" w:rsidRPr="000D135F">
        <w:rPr>
          <w:rFonts w:ascii="Times New Roman" w:hAnsi="Times New Roman" w:cs="Times New Roman"/>
          <w:b/>
          <w:i/>
          <w:color w:val="0000CC"/>
        </w:rPr>
        <w:t xml:space="preserve"> разходи по други бюджети и ССЕС</w:t>
      </w:r>
    </w:p>
    <w:p w:rsidR="007F7E3B" w:rsidRPr="000D135F" w:rsidRDefault="007F7E3B" w:rsidP="007F7E3B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color w:val="0000CC"/>
        </w:rPr>
      </w:pPr>
    </w:p>
    <w:tbl>
      <w:tblPr>
        <w:tblW w:w="968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580"/>
        <w:gridCol w:w="1420"/>
        <w:gridCol w:w="1600"/>
        <w:gridCol w:w="1680"/>
      </w:tblGrid>
      <w:tr w:rsidR="00E22C8B" w:rsidRPr="000D135F" w:rsidTr="00E22C8B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Област на политика (в хил. лв.)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Общо разходи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По бюджета на ПРБ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По други бюджети и сметки за СЕС</w:t>
            </w:r>
          </w:p>
        </w:tc>
      </w:tr>
      <w:tr w:rsidR="00E22C8B" w:rsidRPr="000D135F" w:rsidTr="00E22C8B">
        <w:trPr>
          <w:trHeight w:val="39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Политика за интегрирано развитие на регионите за постигане на растеж и подобряване качеството на жизнената среда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Проект 2023 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1 275 834,8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4 361,0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1 271 473,8</w:t>
            </w:r>
          </w:p>
        </w:tc>
      </w:tr>
      <w:tr w:rsidR="00E22C8B" w:rsidRPr="000D135F" w:rsidTr="00E22C8B">
        <w:trPr>
          <w:trHeight w:val="39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Прогноза 2024 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1 680 296,5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4 104,0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1 676 192,5</w:t>
            </w:r>
          </w:p>
        </w:tc>
      </w:tr>
      <w:tr w:rsidR="00E22C8B" w:rsidRPr="000D135F" w:rsidTr="00E22C8B">
        <w:trPr>
          <w:trHeight w:val="39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Прогноза 2025 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1 498 693,3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4 104,0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1 494 589,3</w:t>
            </w:r>
          </w:p>
        </w:tc>
      </w:tr>
    </w:tbl>
    <w:p w:rsidR="00E22C8B" w:rsidRPr="000D135F" w:rsidRDefault="00E22C8B" w:rsidP="007F7E3B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color w:val="0000CC"/>
        </w:rPr>
      </w:pPr>
    </w:p>
    <w:p w:rsidR="005B4591" w:rsidRPr="000D135F" w:rsidRDefault="005B4591" w:rsidP="008757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  <w:r w:rsidRPr="000D135F">
        <w:rPr>
          <w:rFonts w:ascii="Times New Roman" w:eastAsia="Times New Roman" w:hAnsi="Times New Roman" w:cs="Times New Roman"/>
          <w:b/>
          <w:bCs/>
          <w:lang w:eastAsia="bg-BG"/>
        </w:rPr>
        <w:t>Програма „Развитие на регионите” 2021-2027 г.</w:t>
      </w:r>
    </w:p>
    <w:p w:rsidR="00875702" w:rsidRPr="000D135F" w:rsidRDefault="00875702" w:rsidP="008757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 xml:space="preserve">Основната цел на политиката за регионално развитие в България и, съответно, стратегическа цел на новата Програма „Развитие на регионите“ (ПРР) 2021-2027 г. е да създаде жизнени, силни и устойчиви региони като отговор на неблагоприятните демографски тенденции и задълбочаване на между-регионалните и вътрешно-регионалните различия. </w:t>
      </w:r>
    </w:p>
    <w:p w:rsidR="00875702" w:rsidRPr="000D135F" w:rsidRDefault="00875702" w:rsidP="008757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lang w:eastAsia="bg-BG"/>
        </w:rPr>
      </w:pPr>
      <w:r w:rsidRPr="000D135F">
        <w:rPr>
          <w:rFonts w:ascii="Times New Roman" w:eastAsia="Times New Roman" w:hAnsi="Times New Roman" w:cs="Times New Roman"/>
          <w:bCs/>
          <w:iCs/>
          <w:lang w:eastAsia="bg-BG"/>
        </w:rPr>
        <w:t>Оперативни цели:</w:t>
      </w:r>
    </w:p>
    <w:p w:rsidR="00875702" w:rsidRPr="000D135F" w:rsidRDefault="00875702" w:rsidP="008757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 xml:space="preserve">За постигането на поставената стратегическа цел ще бъдат адресирани следните специфични цели: </w:t>
      </w:r>
    </w:p>
    <w:p w:rsidR="00875702" w:rsidRPr="000D135F" w:rsidRDefault="00875702" w:rsidP="00875702">
      <w:pPr>
        <w:numPr>
          <w:ilvl w:val="0"/>
          <w:numId w:val="23"/>
        </w:numPr>
        <w:tabs>
          <w:tab w:val="left" w:pos="851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0D135F">
        <w:rPr>
          <w:rFonts w:ascii="Times New Roman" w:eastAsia="Calibri" w:hAnsi="Times New Roman" w:cs="Times New Roman"/>
        </w:rPr>
        <w:t>Насърчаване на балансирано териториално развитие чрез полицентрична мрежа от градове;</w:t>
      </w:r>
    </w:p>
    <w:p w:rsidR="00875702" w:rsidRPr="000D135F" w:rsidRDefault="00875702" w:rsidP="00875702">
      <w:pPr>
        <w:numPr>
          <w:ilvl w:val="0"/>
          <w:numId w:val="23"/>
        </w:numPr>
        <w:tabs>
          <w:tab w:val="left" w:pos="851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0D135F">
        <w:rPr>
          <w:rFonts w:ascii="Times New Roman" w:eastAsia="Calibri" w:hAnsi="Times New Roman" w:cs="Times New Roman"/>
        </w:rPr>
        <w:t>Увеличаване на икономическия растеж на българските региони;</w:t>
      </w:r>
    </w:p>
    <w:p w:rsidR="00875702" w:rsidRPr="000D135F" w:rsidRDefault="00875702" w:rsidP="00875702">
      <w:pPr>
        <w:numPr>
          <w:ilvl w:val="0"/>
          <w:numId w:val="23"/>
        </w:numPr>
        <w:tabs>
          <w:tab w:val="left" w:pos="851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0D135F">
        <w:rPr>
          <w:rFonts w:ascii="Times New Roman" w:eastAsia="Calibri" w:hAnsi="Times New Roman" w:cs="Times New Roman"/>
        </w:rPr>
        <w:t>Справяне с негативните демографски тенденции и намаляване на регионалните различия по отношение на населението.</w:t>
      </w:r>
    </w:p>
    <w:p w:rsidR="00875702" w:rsidRPr="000D135F" w:rsidRDefault="00875702" w:rsidP="008757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>Предвижда се ПРР 2021-2027 г. да бъде изцяло насочена към цел на политиката 5 съгласно Регламент 2021/1060 с общите разпоредби за фондовете</w:t>
      </w:r>
      <w:r w:rsidRPr="000D135F">
        <w:rPr>
          <w:rFonts w:ascii="Times New Roman" w:eastAsia="Times New Roman" w:hAnsi="Times New Roman" w:cs="Times New Roman"/>
          <w:lang w:val="en-US" w:eastAsia="bg-BG"/>
        </w:rPr>
        <w:t xml:space="preserve"> – </w:t>
      </w:r>
      <w:r w:rsidRPr="000D135F">
        <w:rPr>
          <w:rFonts w:ascii="Times New Roman" w:eastAsia="Times New Roman" w:hAnsi="Times New Roman" w:cs="Times New Roman"/>
          <w:lang w:eastAsia="bg-BG"/>
        </w:rPr>
        <w:t xml:space="preserve">„Европа по-близо до гражданите </w:t>
      </w:r>
      <w:r w:rsidRPr="000D135F">
        <w:rPr>
          <w:rFonts w:ascii="Times New Roman" w:eastAsia="Times New Roman" w:hAnsi="Times New Roman" w:cs="Times New Roman"/>
          <w:lang w:val="ru-RU" w:eastAsia="bg-BG"/>
        </w:rPr>
        <w:t>чрез насърчаване на устойчивото и интегрирано развитие на градските, селските и крайбрежните райони и на местните инициативи</w:t>
      </w:r>
      <w:r w:rsidRPr="000D135F">
        <w:rPr>
          <w:rFonts w:ascii="Times New Roman" w:eastAsia="Times New Roman" w:hAnsi="Times New Roman" w:cs="Times New Roman"/>
          <w:lang w:val="en-US" w:eastAsia="bg-BG"/>
        </w:rPr>
        <w:t>”</w:t>
      </w:r>
      <w:r w:rsidRPr="000D135F">
        <w:rPr>
          <w:rFonts w:ascii="Times New Roman" w:eastAsia="Times New Roman" w:hAnsi="Times New Roman" w:cs="Times New Roman"/>
          <w:lang w:eastAsia="bg-BG"/>
        </w:rPr>
        <w:t xml:space="preserve">, а целите на оперативната програма да бъдат адресирани чрез прилагането на интегриран териториален подход: средствата по програмата ще се отпускат за финансиране на пакети с интегрирани проекти в изпълнение на приоритетите на интегрирани териториални стратегии, </w:t>
      </w:r>
      <w:r w:rsidRPr="000D135F">
        <w:rPr>
          <w:rFonts w:ascii="Times New Roman" w:eastAsia="Times New Roman" w:hAnsi="Times New Roman" w:cs="Times New Roman"/>
          <w:lang w:eastAsia="bg-BG"/>
        </w:rPr>
        <w:lastRenderedPageBreak/>
        <w:t>като в подбора на проектите ще участват съответните териториални органи. В допълнение, в рамките на ПРР 2021-2027 г. ще бъдат изпълнявани проекти от териториалните планове за справедлив преход, със средства от Фонда за справедлив преход.</w:t>
      </w:r>
    </w:p>
    <w:p w:rsidR="00875702" w:rsidRPr="000D135F" w:rsidRDefault="00875702" w:rsidP="00875702">
      <w:pPr>
        <w:tabs>
          <w:tab w:val="left" w:pos="851"/>
        </w:tabs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  <w:bCs/>
          <w:lang w:eastAsia="bg-BG"/>
        </w:rPr>
      </w:pPr>
      <w:r w:rsidRPr="000D135F">
        <w:rPr>
          <w:rFonts w:ascii="Times New Roman" w:eastAsia="Times New Roman" w:hAnsi="Times New Roman" w:cs="Times New Roman"/>
          <w:b/>
          <w:bCs/>
          <w:lang w:eastAsia="bg-BG"/>
        </w:rPr>
        <w:t>Предоставяни по програмата продукти/услуги</w:t>
      </w:r>
    </w:p>
    <w:p w:rsidR="00875702" w:rsidRPr="000D135F" w:rsidRDefault="00875702" w:rsidP="008757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>ПРР 2021-2027 г. ще финансира основно инфраструктурни мерки в следните направления:</w:t>
      </w:r>
    </w:p>
    <w:p w:rsidR="00875702" w:rsidRPr="000D135F" w:rsidRDefault="00875702" w:rsidP="00875702">
      <w:pPr>
        <w:numPr>
          <w:ilvl w:val="0"/>
          <w:numId w:val="23"/>
        </w:numPr>
        <w:tabs>
          <w:tab w:val="left" w:pos="851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0D135F">
        <w:rPr>
          <w:rFonts w:ascii="Times New Roman" w:eastAsia="Calibri" w:hAnsi="Times New Roman" w:cs="Times New Roman"/>
        </w:rPr>
        <w:t>социална, образователна, културна, здравна, спортна инфраструктура;</w:t>
      </w:r>
    </w:p>
    <w:p w:rsidR="00875702" w:rsidRPr="000D135F" w:rsidRDefault="00875702" w:rsidP="00875702">
      <w:pPr>
        <w:numPr>
          <w:ilvl w:val="0"/>
          <w:numId w:val="23"/>
        </w:numPr>
        <w:tabs>
          <w:tab w:val="left" w:pos="851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0D135F">
        <w:rPr>
          <w:rFonts w:ascii="Times New Roman" w:eastAsia="Calibri" w:hAnsi="Times New Roman" w:cs="Times New Roman"/>
        </w:rPr>
        <w:t>енергийна ефективност, устойчива градска мобилност, качествена и безопасна околна среда;</w:t>
      </w:r>
    </w:p>
    <w:p w:rsidR="00875702" w:rsidRPr="000D135F" w:rsidRDefault="00875702" w:rsidP="00875702">
      <w:pPr>
        <w:numPr>
          <w:ilvl w:val="0"/>
          <w:numId w:val="23"/>
        </w:numPr>
        <w:tabs>
          <w:tab w:val="left" w:pos="851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0D135F">
        <w:rPr>
          <w:rFonts w:ascii="Times New Roman" w:eastAsia="Calibri" w:hAnsi="Times New Roman" w:cs="Times New Roman"/>
        </w:rPr>
        <w:t>инфраструктура за развитие на икономически дейности;</w:t>
      </w:r>
    </w:p>
    <w:p w:rsidR="00875702" w:rsidRPr="000D135F" w:rsidRDefault="00875702" w:rsidP="00875702">
      <w:pPr>
        <w:numPr>
          <w:ilvl w:val="0"/>
          <w:numId w:val="23"/>
        </w:numPr>
        <w:tabs>
          <w:tab w:val="left" w:pos="851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0D135F">
        <w:rPr>
          <w:rFonts w:ascii="Times New Roman" w:eastAsia="Calibri" w:hAnsi="Times New Roman" w:cs="Times New Roman"/>
        </w:rPr>
        <w:t>инфраструктура за здравеопазване и деинституционализация на базата на картиране (mapping);</w:t>
      </w:r>
    </w:p>
    <w:p w:rsidR="00875702" w:rsidRPr="000D135F" w:rsidRDefault="00875702" w:rsidP="00875702">
      <w:pPr>
        <w:numPr>
          <w:ilvl w:val="0"/>
          <w:numId w:val="23"/>
        </w:numPr>
        <w:tabs>
          <w:tab w:val="left" w:pos="851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0D135F">
        <w:rPr>
          <w:rFonts w:ascii="Times New Roman" w:eastAsia="Calibri" w:hAnsi="Times New Roman" w:cs="Times New Roman"/>
        </w:rPr>
        <w:t>пътища и безопасност на движението;</w:t>
      </w:r>
    </w:p>
    <w:p w:rsidR="00875702" w:rsidRPr="000D135F" w:rsidRDefault="00875702" w:rsidP="00875702">
      <w:pPr>
        <w:numPr>
          <w:ilvl w:val="0"/>
          <w:numId w:val="23"/>
        </w:numPr>
        <w:tabs>
          <w:tab w:val="left" w:pos="851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0D135F">
        <w:rPr>
          <w:rFonts w:ascii="Times New Roman" w:eastAsia="Calibri" w:hAnsi="Times New Roman" w:cs="Times New Roman"/>
        </w:rPr>
        <w:t>културно-историческо наследство и туризъм;</w:t>
      </w:r>
    </w:p>
    <w:p w:rsidR="00875702" w:rsidRPr="000D135F" w:rsidRDefault="00875702" w:rsidP="00875702">
      <w:pPr>
        <w:numPr>
          <w:ilvl w:val="0"/>
          <w:numId w:val="23"/>
        </w:numPr>
        <w:tabs>
          <w:tab w:val="left" w:pos="851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0D135F">
        <w:rPr>
          <w:rFonts w:ascii="Times New Roman" w:eastAsia="Calibri" w:hAnsi="Times New Roman" w:cs="Times New Roman"/>
        </w:rPr>
        <w:t>други дейности, допустими по ЕФРР</w:t>
      </w:r>
    </w:p>
    <w:p w:rsidR="00875702" w:rsidRPr="000D135F" w:rsidRDefault="00875702" w:rsidP="008757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>В допълнение, предвид факта, че предвиждания за изпълнение интегриран териториален подход е нова инициатива и е необходимо изграждане на капацитет за прилагането му, както по отношение на териториалните органи, които ще участват в подбора на проектите, така и на бенефициентите по програмата, се предвижда изпълнението на пътна карта за подобряване на капацитета на УО, териториалните органи (10 градски общини и 6 регионални съвети за развитие), на бенефициентите и партньорите по програмата.</w:t>
      </w:r>
    </w:p>
    <w:p w:rsidR="00937528" w:rsidRPr="000D135F" w:rsidRDefault="00937528" w:rsidP="00875702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0000CC"/>
        </w:rPr>
      </w:pPr>
    </w:p>
    <w:p w:rsidR="00740960" w:rsidRPr="000D135F" w:rsidRDefault="00230093" w:rsidP="00A10F5E">
      <w:pPr>
        <w:pStyle w:val="ListParagraph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000CC"/>
        </w:rPr>
      </w:pPr>
      <w:r w:rsidRPr="000D135F">
        <w:rPr>
          <w:rFonts w:ascii="Times New Roman" w:hAnsi="Times New Roman" w:cs="Times New Roman"/>
          <w:b/>
          <w:i/>
          <w:color w:val="0000CC"/>
        </w:rPr>
        <w:t>Ключови индикатори и целеви стойности</w:t>
      </w:r>
      <w:r w:rsidR="00091C5B" w:rsidRPr="000D135F">
        <w:rPr>
          <w:rFonts w:ascii="Times New Roman" w:hAnsi="Times New Roman" w:cs="Times New Roman"/>
          <w:b/>
          <w:i/>
          <w:color w:val="0000CC"/>
        </w:rPr>
        <w:t xml:space="preserve"> (попълва се за всяка област на политика)</w:t>
      </w:r>
    </w:p>
    <w:tbl>
      <w:tblPr>
        <w:tblStyle w:val="TableGrid2"/>
        <w:tblW w:w="99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167"/>
        <w:gridCol w:w="1141"/>
        <w:gridCol w:w="1268"/>
        <w:gridCol w:w="1135"/>
        <w:gridCol w:w="141"/>
      </w:tblGrid>
      <w:tr w:rsidR="008459A5" w:rsidRPr="000D135F" w:rsidTr="00E0454A">
        <w:trPr>
          <w:gridAfter w:val="1"/>
          <w:wAfter w:w="141" w:type="dxa"/>
          <w:trHeight w:val="565"/>
        </w:trPr>
        <w:tc>
          <w:tcPr>
            <w:tcW w:w="5070" w:type="dxa"/>
          </w:tcPr>
          <w:p w:rsidR="008459A5" w:rsidRPr="000D135F" w:rsidRDefault="008459A5" w:rsidP="00A10F5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Област на политика:</w:t>
            </w:r>
          </w:p>
          <w:p w:rsidR="008459A5" w:rsidRPr="000D135F" w:rsidRDefault="008459A5" w:rsidP="00567C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3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Политика за интегрирано развитие на регионите</w:t>
            </w:r>
            <w:r w:rsidR="00567CD4" w:rsidRPr="000D13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за постигане на растеж и подобряване качеството на </w:t>
            </w:r>
            <w:r w:rsidRPr="000D13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жизнената среда</w:t>
            </w:r>
            <w:r w:rsidRPr="000D13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167" w:type="dxa"/>
            <w:vMerge w:val="restart"/>
            <w:shd w:val="clear" w:color="auto" w:fill="F2F2F2" w:themeFill="background1" w:themeFillShade="F2"/>
            <w:vAlign w:val="center"/>
          </w:tcPr>
          <w:p w:rsidR="008459A5" w:rsidRPr="000D135F" w:rsidRDefault="008459A5" w:rsidP="00B250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Мерна единица</w:t>
            </w:r>
          </w:p>
        </w:tc>
        <w:tc>
          <w:tcPr>
            <w:tcW w:w="1141" w:type="dxa"/>
          </w:tcPr>
          <w:p w:rsidR="008459A5" w:rsidRPr="000D135F" w:rsidRDefault="008459A5" w:rsidP="00A10F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9A5" w:rsidRPr="000D135F" w:rsidRDefault="008459A5" w:rsidP="00B250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Целева стойност</w:t>
            </w:r>
          </w:p>
        </w:tc>
      </w:tr>
      <w:tr w:rsidR="006D4941" w:rsidRPr="000D135F" w:rsidTr="00DC368C">
        <w:trPr>
          <w:trHeight w:val="225"/>
        </w:trPr>
        <w:tc>
          <w:tcPr>
            <w:tcW w:w="5070" w:type="dxa"/>
            <w:tcBorders>
              <w:bottom w:val="single" w:sz="4" w:space="0" w:color="auto"/>
            </w:tcBorders>
          </w:tcPr>
          <w:p w:rsidR="006D4941" w:rsidRPr="000D135F" w:rsidRDefault="006D4941" w:rsidP="00A10F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на индикатора</w:t>
            </w:r>
          </w:p>
        </w:tc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D4941" w:rsidRPr="000D135F" w:rsidRDefault="006D4941" w:rsidP="00A10F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6D4941" w:rsidRPr="000D135F" w:rsidRDefault="006D4941" w:rsidP="000B2C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</w:t>
            </w:r>
            <w:r w:rsidR="000B2C4C" w:rsidRPr="000D13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ект</w:t>
            </w:r>
            <w:r w:rsidR="00D51E1F" w:rsidRPr="000D13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2023</w:t>
            </w:r>
            <w:r w:rsidRPr="000D13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г.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6D4941" w:rsidRPr="000D135F" w:rsidRDefault="006D4941" w:rsidP="00A10F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Прогноза</w:t>
            </w:r>
          </w:p>
          <w:p w:rsidR="006D4941" w:rsidRPr="000D135F" w:rsidRDefault="006D4941" w:rsidP="00A10F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  <w:r w:rsidRPr="000D13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2</w:t>
            </w:r>
            <w:r w:rsidR="00D51E1F" w:rsidRPr="000D13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  <w:r w:rsidRPr="000D13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941" w:rsidRPr="000D135F" w:rsidRDefault="006D4941" w:rsidP="00A10F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Прогноза</w:t>
            </w:r>
          </w:p>
          <w:p w:rsidR="006D4941" w:rsidRPr="000D135F" w:rsidRDefault="006D4941" w:rsidP="00A10F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  <w:r w:rsidRPr="000D13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2</w:t>
            </w:r>
            <w:r w:rsidR="00D51E1F" w:rsidRPr="000D13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  <w:r w:rsidRPr="000D13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г.</w:t>
            </w:r>
          </w:p>
        </w:tc>
      </w:tr>
      <w:tr w:rsidR="002362A8" w:rsidRPr="000D135F" w:rsidTr="00DC368C">
        <w:trPr>
          <w:trHeight w:val="834"/>
        </w:trPr>
        <w:tc>
          <w:tcPr>
            <w:tcW w:w="5070" w:type="dxa"/>
            <w:tcBorders>
              <w:top w:val="single" w:sz="4" w:space="0" w:color="auto"/>
              <w:bottom w:val="nil"/>
            </w:tcBorders>
            <w:vAlign w:val="center"/>
          </w:tcPr>
          <w:p w:rsidR="002362A8" w:rsidRPr="000D135F" w:rsidRDefault="002362A8" w:rsidP="00A10F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0D13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D135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Изпълнение на Пътна карта за нови подходи в регионалната политика</w:t>
            </w:r>
            <w:r w:rsidRPr="000D135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 xml:space="preserve"> </w:t>
            </w:r>
            <w:r w:rsidRPr="000D135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 цел създаване на условия за балансирано териториално развитие</w:t>
            </w:r>
            <w:r w:rsidR="00D51E1F" w:rsidRPr="000D135F">
              <w:rPr>
                <w:rStyle w:val="FootnoteReference"/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bg-BG"/>
              </w:rPr>
              <w:footnoteReference w:id="1"/>
            </w:r>
          </w:p>
          <w:p w:rsidR="002362A8" w:rsidRPr="000D135F" w:rsidRDefault="002362A8" w:rsidP="00A10F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(с натрупване)</w:t>
            </w:r>
          </w:p>
        </w:tc>
        <w:tc>
          <w:tcPr>
            <w:tcW w:w="116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2362A8" w:rsidRPr="000D135F" w:rsidRDefault="002362A8" w:rsidP="00A10F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bottom w:val="nil"/>
            </w:tcBorders>
            <w:vAlign w:val="center"/>
          </w:tcPr>
          <w:p w:rsidR="002362A8" w:rsidRPr="000D135F" w:rsidRDefault="00452547" w:rsidP="00A10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bottom w:val="nil"/>
            </w:tcBorders>
            <w:vAlign w:val="center"/>
          </w:tcPr>
          <w:p w:rsidR="002362A8" w:rsidRPr="000D135F" w:rsidRDefault="00452547" w:rsidP="00A10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362A8" w:rsidRPr="000D135F" w:rsidRDefault="00452547" w:rsidP="00A10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2362A8" w:rsidRPr="000D135F" w:rsidTr="00DC368C">
        <w:trPr>
          <w:trHeight w:val="232"/>
        </w:trPr>
        <w:tc>
          <w:tcPr>
            <w:tcW w:w="5070" w:type="dxa"/>
            <w:tcBorders>
              <w:top w:val="single" w:sz="4" w:space="0" w:color="auto"/>
              <w:bottom w:val="nil"/>
            </w:tcBorders>
            <w:vAlign w:val="center"/>
          </w:tcPr>
          <w:p w:rsidR="002362A8" w:rsidRPr="000D135F" w:rsidRDefault="002362A8" w:rsidP="00A10F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35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2. Намаляване на дела на мигриралото население (вътрешна миграция)</w:t>
            </w:r>
          </w:p>
        </w:tc>
        <w:tc>
          <w:tcPr>
            <w:tcW w:w="116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2362A8" w:rsidRPr="000D135F" w:rsidRDefault="002362A8" w:rsidP="00A10F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bottom w:val="nil"/>
            </w:tcBorders>
            <w:vAlign w:val="center"/>
          </w:tcPr>
          <w:p w:rsidR="002362A8" w:rsidRPr="000D135F" w:rsidRDefault="00452547" w:rsidP="00A10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2,02</w:t>
            </w:r>
          </w:p>
        </w:tc>
        <w:tc>
          <w:tcPr>
            <w:tcW w:w="1268" w:type="dxa"/>
            <w:tcBorders>
              <w:top w:val="single" w:sz="4" w:space="0" w:color="auto"/>
              <w:bottom w:val="nil"/>
            </w:tcBorders>
            <w:vAlign w:val="center"/>
          </w:tcPr>
          <w:p w:rsidR="002362A8" w:rsidRPr="000D135F" w:rsidRDefault="00452547" w:rsidP="00A10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2,01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362A8" w:rsidRPr="000D135F" w:rsidRDefault="00452547" w:rsidP="00A10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2,01</w:t>
            </w:r>
          </w:p>
        </w:tc>
      </w:tr>
      <w:tr w:rsidR="00CB1305" w:rsidRPr="000D135F" w:rsidTr="00DC368C">
        <w:trPr>
          <w:trHeight w:val="325"/>
        </w:trPr>
        <w:tc>
          <w:tcPr>
            <w:tcW w:w="5070" w:type="dxa"/>
            <w:tcBorders>
              <w:top w:val="single" w:sz="4" w:space="0" w:color="auto"/>
              <w:bottom w:val="nil"/>
            </w:tcBorders>
            <w:vAlign w:val="center"/>
          </w:tcPr>
          <w:p w:rsidR="00CB1305" w:rsidRPr="000D135F" w:rsidRDefault="00CB1305" w:rsidP="00A10F5E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3. Брой реконструирани/възстановени културни и исторически обекти</w:t>
            </w:r>
            <w:r w:rsidR="00D51E1F" w:rsidRPr="00F42448">
              <w:rPr>
                <w:rStyle w:val="FootnoteReference"/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footnoteReference w:id="2"/>
            </w:r>
          </w:p>
        </w:tc>
        <w:tc>
          <w:tcPr>
            <w:tcW w:w="116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B1305" w:rsidRPr="000D135F" w:rsidRDefault="00CB1305" w:rsidP="00A10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брой</w:t>
            </w:r>
          </w:p>
        </w:tc>
        <w:tc>
          <w:tcPr>
            <w:tcW w:w="1141" w:type="dxa"/>
            <w:tcBorders>
              <w:top w:val="single" w:sz="4" w:space="0" w:color="auto"/>
              <w:bottom w:val="nil"/>
            </w:tcBorders>
            <w:vAlign w:val="center"/>
          </w:tcPr>
          <w:p w:rsidR="00CB1305" w:rsidRPr="000D135F" w:rsidRDefault="004A4600" w:rsidP="00A10F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</w:t>
            </w:r>
          </w:p>
        </w:tc>
        <w:tc>
          <w:tcPr>
            <w:tcW w:w="1268" w:type="dxa"/>
            <w:tcBorders>
              <w:top w:val="single" w:sz="4" w:space="0" w:color="auto"/>
              <w:bottom w:val="nil"/>
            </w:tcBorders>
            <w:vAlign w:val="center"/>
          </w:tcPr>
          <w:p w:rsidR="00CB1305" w:rsidRPr="000D135F" w:rsidRDefault="00CB1305" w:rsidP="0093752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B1305" w:rsidRPr="000D135F" w:rsidRDefault="00CB1305" w:rsidP="0006563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B1305" w:rsidRPr="000D135F" w:rsidTr="00DC368C">
        <w:trPr>
          <w:trHeight w:val="196"/>
        </w:trPr>
        <w:tc>
          <w:tcPr>
            <w:tcW w:w="5070" w:type="dxa"/>
            <w:tcBorders>
              <w:top w:val="single" w:sz="4" w:space="0" w:color="auto"/>
              <w:bottom w:val="nil"/>
            </w:tcBorders>
            <w:vAlign w:val="center"/>
          </w:tcPr>
          <w:p w:rsidR="00CB1305" w:rsidRPr="000D135F" w:rsidRDefault="00CB1305" w:rsidP="00A10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4. Население, възползващо се от мерки за защита от наводнения или горски пожари</w:t>
            </w:r>
          </w:p>
        </w:tc>
        <w:tc>
          <w:tcPr>
            <w:tcW w:w="116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B1305" w:rsidRPr="000D135F" w:rsidRDefault="00CB1305" w:rsidP="00A10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брой</w:t>
            </w:r>
          </w:p>
        </w:tc>
        <w:tc>
          <w:tcPr>
            <w:tcW w:w="1141" w:type="dxa"/>
            <w:tcBorders>
              <w:top w:val="single" w:sz="4" w:space="0" w:color="auto"/>
              <w:bottom w:val="nil"/>
            </w:tcBorders>
            <w:vAlign w:val="center"/>
          </w:tcPr>
          <w:p w:rsidR="00CB1305" w:rsidRPr="000D135F" w:rsidRDefault="004A4600" w:rsidP="00A10F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4 361 582</w:t>
            </w:r>
          </w:p>
        </w:tc>
        <w:tc>
          <w:tcPr>
            <w:tcW w:w="1268" w:type="dxa"/>
            <w:tcBorders>
              <w:top w:val="single" w:sz="4" w:space="0" w:color="auto"/>
              <w:bottom w:val="nil"/>
            </w:tcBorders>
            <w:vAlign w:val="center"/>
          </w:tcPr>
          <w:p w:rsidR="00CB1305" w:rsidRPr="000D135F" w:rsidRDefault="00CB1305" w:rsidP="00A10F5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B1305" w:rsidRPr="000D135F" w:rsidRDefault="00CB1305" w:rsidP="0006563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B1305" w:rsidRPr="000D135F" w:rsidTr="00DC368C">
        <w:trPr>
          <w:trHeight w:val="196"/>
        </w:trPr>
        <w:tc>
          <w:tcPr>
            <w:tcW w:w="5070" w:type="dxa"/>
            <w:tcBorders>
              <w:top w:val="single" w:sz="4" w:space="0" w:color="auto"/>
              <w:bottom w:val="nil"/>
            </w:tcBorders>
            <w:vAlign w:val="center"/>
          </w:tcPr>
          <w:p w:rsidR="00CB1305" w:rsidRPr="000D135F" w:rsidRDefault="00CB1305" w:rsidP="00A10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5. Общ брой младежи, включени в схеми за младежко предприемачество и инициативи</w:t>
            </w:r>
          </w:p>
        </w:tc>
        <w:tc>
          <w:tcPr>
            <w:tcW w:w="116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B1305" w:rsidRPr="000D135F" w:rsidRDefault="00CB1305" w:rsidP="00A10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брой</w:t>
            </w:r>
          </w:p>
        </w:tc>
        <w:tc>
          <w:tcPr>
            <w:tcW w:w="1141" w:type="dxa"/>
            <w:tcBorders>
              <w:top w:val="single" w:sz="4" w:space="0" w:color="auto"/>
              <w:bottom w:val="nil"/>
            </w:tcBorders>
            <w:vAlign w:val="center"/>
          </w:tcPr>
          <w:p w:rsidR="00CB1305" w:rsidRPr="000D135F" w:rsidRDefault="004A4600" w:rsidP="00A10F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527</w:t>
            </w:r>
          </w:p>
        </w:tc>
        <w:tc>
          <w:tcPr>
            <w:tcW w:w="1268" w:type="dxa"/>
            <w:tcBorders>
              <w:top w:val="single" w:sz="4" w:space="0" w:color="auto"/>
              <w:bottom w:val="nil"/>
            </w:tcBorders>
            <w:vAlign w:val="center"/>
          </w:tcPr>
          <w:p w:rsidR="00CB1305" w:rsidRPr="000D135F" w:rsidRDefault="00CB1305" w:rsidP="00A10F5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B1305" w:rsidRPr="000D135F" w:rsidRDefault="00CB1305" w:rsidP="0006563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B1305" w:rsidRPr="000D135F" w:rsidTr="00F42448">
        <w:trPr>
          <w:trHeight w:val="432"/>
        </w:trPr>
        <w:tc>
          <w:tcPr>
            <w:tcW w:w="5070" w:type="dxa"/>
            <w:tcBorders>
              <w:top w:val="single" w:sz="4" w:space="0" w:color="auto"/>
              <w:bottom w:val="nil"/>
            </w:tcBorders>
            <w:vAlign w:val="center"/>
          </w:tcPr>
          <w:p w:rsidR="00CB1305" w:rsidRPr="000D135F" w:rsidRDefault="00CB1305" w:rsidP="00A10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6. Брой участници в инициативи за обучение и квалификация</w:t>
            </w:r>
          </w:p>
        </w:tc>
        <w:tc>
          <w:tcPr>
            <w:tcW w:w="116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B1305" w:rsidRPr="000D135F" w:rsidRDefault="00CB1305" w:rsidP="00A10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брой</w:t>
            </w:r>
          </w:p>
        </w:tc>
        <w:tc>
          <w:tcPr>
            <w:tcW w:w="1141" w:type="dxa"/>
            <w:tcBorders>
              <w:top w:val="single" w:sz="4" w:space="0" w:color="auto"/>
              <w:bottom w:val="nil"/>
            </w:tcBorders>
            <w:vAlign w:val="center"/>
          </w:tcPr>
          <w:p w:rsidR="00CB1305" w:rsidRPr="000D135F" w:rsidRDefault="004A4600" w:rsidP="00A10F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1 128</w:t>
            </w:r>
          </w:p>
        </w:tc>
        <w:tc>
          <w:tcPr>
            <w:tcW w:w="1268" w:type="dxa"/>
            <w:tcBorders>
              <w:top w:val="single" w:sz="4" w:space="0" w:color="auto"/>
              <w:bottom w:val="nil"/>
            </w:tcBorders>
            <w:vAlign w:val="center"/>
          </w:tcPr>
          <w:p w:rsidR="00CB1305" w:rsidRPr="000D135F" w:rsidRDefault="00CB1305" w:rsidP="00A10F5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B1305" w:rsidRPr="000D135F" w:rsidRDefault="00CB1305" w:rsidP="0006563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95DF6" w:rsidRPr="000D135F" w:rsidTr="00DC368C">
        <w:trPr>
          <w:trHeight w:val="196"/>
        </w:trPr>
        <w:tc>
          <w:tcPr>
            <w:tcW w:w="5070" w:type="dxa"/>
            <w:tcBorders>
              <w:top w:val="single" w:sz="4" w:space="0" w:color="auto"/>
              <w:bottom w:val="nil"/>
            </w:tcBorders>
            <w:vAlign w:val="center"/>
          </w:tcPr>
          <w:p w:rsidR="00795DF6" w:rsidRPr="000D135F" w:rsidRDefault="00DC368C" w:rsidP="00A10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r w:rsidR="005822F9" w:rsidRPr="000D135F">
              <w:rPr>
                <w:rFonts w:ascii="Times New Roman" w:hAnsi="Times New Roman" w:cs="Times New Roman"/>
                <w:sz w:val="18"/>
                <w:szCs w:val="18"/>
              </w:rPr>
              <w:t>Разработване и приемане на Национална жилищна стратегия</w:t>
            </w:r>
          </w:p>
        </w:tc>
        <w:tc>
          <w:tcPr>
            <w:tcW w:w="116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795DF6" w:rsidRPr="000D135F" w:rsidRDefault="005822F9" w:rsidP="00A10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брой целеви програми</w:t>
            </w:r>
          </w:p>
        </w:tc>
        <w:tc>
          <w:tcPr>
            <w:tcW w:w="1141" w:type="dxa"/>
            <w:tcBorders>
              <w:top w:val="single" w:sz="4" w:space="0" w:color="auto"/>
              <w:bottom w:val="nil"/>
            </w:tcBorders>
            <w:vAlign w:val="center"/>
          </w:tcPr>
          <w:p w:rsidR="00795DF6" w:rsidRPr="000D135F" w:rsidRDefault="005822F9" w:rsidP="00A10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bottom w:val="nil"/>
            </w:tcBorders>
            <w:vAlign w:val="center"/>
          </w:tcPr>
          <w:p w:rsidR="00795DF6" w:rsidRPr="000D135F" w:rsidRDefault="005822F9" w:rsidP="00A10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Фаза на изпълнение на НЖС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95DF6" w:rsidRPr="000D135F" w:rsidRDefault="005822F9" w:rsidP="000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Фаза на изпълнение на НЖС</w:t>
            </w:r>
          </w:p>
        </w:tc>
      </w:tr>
      <w:tr w:rsidR="00182B51" w:rsidRPr="000D135F" w:rsidTr="00DC368C">
        <w:trPr>
          <w:trHeight w:val="196"/>
        </w:trPr>
        <w:tc>
          <w:tcPr>
            <w:tcW w:w="5070" w:type="dxa"/>
            <w:tcBorders>
              <w:top w:val="single" w:sz="4" w:space="0" w:color="auto"/>
              <w:bottom w:val="nil"/>
            </w:tcBorders>
            <w:vAlign w:val="center"/>
          </w:tcPr>
          <w:p w:rsidR="00182B51" w:rsidRPr="000D135F" w:rsidRDefault="005822F9" w:rsidP="00A10F5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37121" w:rsidRPr="000D135F">
              <w:rPr>
                <w:rFonts w:ascii="Times New Roman" w:hAnsi="Times New Roman" w:cs="Times New Roman"/>
                <w:sz w:val="18"/>
                <w:szCs w:val="18"/>
              </w:rPr>
              <w:t xml:space="preserve">. Проекти на актове на Министерския съвет за промяна в характера на собствеността на имоти - държавна собственост, за безвъзмездното им предоставяне за управление, за безвъзмездното им прехвърляне в собственост, за учредяване на право на ползване върху тях, за учредяване на ограничени вещни права върху имоти – публична държавна собственост,  проекти на актове на МС за изменение и допълнение на актове на МС, и  проекти на актове на МС, по които МРРБ е </w:t>
            </w:r>
            <w:proofErr w:type="spellStart"/>
            <w:r w:rsidR="00537121" w:rsidRPr="000D135F">
              <w:rPr>
                <w:rFonts w:ascii="Times New Roman" w:hAnsi="Times New Roman" w:cs="Times New Roman"/>
                <w:sz w:val="18"/>
                <w:szCs w:val="18"/>
              </w:rPr>
              <w:t>съвносител</w:t>
            </w:r>
            <w:proofErr w:type="spellEnd"/>
            <w:r w:rsidR="00537121" w:rsidRPr="000D135F">
              <w:rPr>
                <w:rFonts w:ascii="Times New Roman" w:hAnsi="Times New Roman" w:cs="Times New Roman"/>
                <w:sz w:val="18"/>
                <w:szCs w:val="18"/>
              </w:rPr>
              <w:t>, за отчуждаване на имоти и части от имоти - частна собственост, за държавни нужди, за изграждането на национални обекти</w:t>
            </w:r>
          </w:p>
        </w:tc>
        <w:tc>
          <w:tcPr>
            <w:tcW w:w="116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82B51" w:rsidRPr="000D135F" w:rsidRDefault="00537121" w:rsidP="00A10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брой</w:t>
            </w:r>
          </w:p>
        </w:tc>
        <w:tc>
          <w:tcPr>
            <w:tcW w:w="1141" w:type="dxa"/>
            <w:tcBorders>
              <w:top w:val="single" w:sz="4" w:space="0" w:color="auto"/>
              <w:bottom w:val="nil"/>
            </w:tcBorders>
            <w:vAlign w:val="center"/>
          </w:tcPr>
          <w:p w:rsidR="00182B51" w:rsidRPr="000D135F" w:rsidRDefault="00537121" w:rsidP="00A10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268" w:type="dxa"/>
            <w:tcBorders>
              <w:top w:val="single" w:sz="4" w:space="0" w:color="auto"/>
              <w:bottom w:val="nil"/>
            </w:tcBorders>
            <w:vAlign w:val="center"/>
          </w:tcPr>
          <w:p w:rsidR="00182B51" w:rsidRPr="000D135F" w:rsidRDefault="00537121" w:rsidP="00A10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82B51" w:rsidRPr="000D135F" w:rsidRDefault="00537121" w:rsidP="000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182B51" w:rsidRPr="000D135F" w:rsidTr="00DC368C">
        <w:trPr>
          <w:trHeight w:val="196"/>
        </w:trPr>
        <w:tc>
          <w:tcPr>
            <w:tcW w:w="5070" w:type="dxa"/>
            <w:tcBorders>
              <w:top w:val="single" w:sz="4" w:space="0" w:color="auto"/>
              <w:bottom w:val="nil"/>
            </w:tcBorders>
            <w:vAlign w:val="center"/>
          </w:tcPr>
          <w:p w:rsidR="00182B51" w:rsidRPr="000D135F" w:rsidRDefault="005822F9" w:rsidP="00A10F5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537121" w:rsidRPr="000D135F">
              <w:rPr>
                <w:rFonts w:ascii="Times New Roman" w:hAnsi="Times New Roman" w:cs="Times New Roman"/>
                <w:sz w:val="18"/>
                <w:szCs w:val="18"/>
              </w:rPr>
              <w:t>. Актове на министъра на регионалното развитие и благоустройството за отчуждаване на имоти и части от имоти - частна собственост, за държавни нужди</w:t>
            </w:r>
          </w:p>
        </w:tc>
        <w:tc>
          <w:tcPr>
            <w:tcW w:w="116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82B51" w:rsidRPr="000D135F" w:rsidRDefault="00537121" w:rsidP="00A10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брой</w:t>
            </w:r>
          </w:p>
        </w:tc>
        <w:tc>
          <w:tcPr>
            <w:tcW w:w="1141" w:type="dxa"/>
            <w:tcBorders>
              <w:top w:val="single" w:sz="4" w:space="0" w:color="auto"/>
              <w:bottom w:val="nil"/>
            </w:tcBorders>
            <w:vAlign w:val="center"/>
          </w:tcPr>
          <w:p w:rsidR="00182B51" w:rsidRPr="000D135F" w:rsidRDefault="00537121" w:rsidP="00A10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bottom w:val="nil"/>
            </w:tcBorders>
            <w:vAlign w:val="center"/>
          </w:tcPr>
          <w:p w:rsidR="00182B51" w:rsidRPr="000D135F" w:rsidRDefault="00537121" w:rsidP="00A10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82B51" w:rsidRPr="000D135F" w:rsidRDefault="00537121" w:rsidP="000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712E3" w:rsidRPr="000D135F" w:rsidTr="00DC368C">
        <w:trPr>
          <w:trHeight w:val="196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2E3" w:rsidRPr="000D135F" w:rsidRDefault="005822F9" w:rsidP="004C55E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10</w:t>
            </w:r>
            <w:r w:rsidR="007712E3"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Нарастване потенциала на АТЕ за ефективно и ефикасно планиране, управление и използване на ресурсите за устойчиво местно развитие </w:t>
            </w:r>
            <w:r w:rsidR="007712E3" w:rsidRPr="000D135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(нарастване дела на общините, отчитащи резултати над средните за страната по показатели за финансова самостоятелност и инвестиционна активност</w:t>
            </w:r>
            <w:r w:rsidR="007712E3"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12E3" w:rsidRPr="000D135F" w:rsidRDefault="007712E3" w:rsidP="007712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2E3" w:rsidRPr="000D135F" w:rsidRDefault="00A12862" w:rsidP="00D51E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2E3" w:rsidRPr="000D135F" w:rsidRDefault="00A12862" w:rsidP="00D51E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2E3" w:rsidRPr="000D135F" w:rsidRDefault="00A12862" w:rsidP="00D51E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1,3</w:t>
            </w:r>
          </w:p>
        </w:tc>
      </w:tr>
      <w:tr w:rsidR="007712E3" w:rsidRPr="000D135F" w:rsidTr="00DC368C">
        <w:trPr>
          <w:trHeight w:val="70"/>
        </w:trPr>
        <w:tc>
          <w:tcPr>
            <w:tcW w:w="5070" w:type="dxa"/>
            <w:tcBorders>
              <w:top w:val="single" w:sz="4" w:space="0" w:color="auto"/>
              <w:bottom w:val="nil"/>
            </w:tcBorders>
          </w:tcPr>
          <w:p w:rsidR="00D51E1F" w:rsidRPr="000D135F" w:rsidRDefault="00D51E1F" w:rsidP="007712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7712E3" w:rsidRPr="000D135F" w:rsidRDefault="007712E3" w:rsidP="007712E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nil"/>
            </w:tcBorders>
          </w:tcPr>
          <w:p w:rsidR="007712E3" w:rsidRPr="000D135F" w:rsidRDefault="007712E3" w:rsidP="007712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nil"/>
            </w:tcBorders>
          </w:tcPr>
          <w:p w:rsidR="007712E3" w:rsidRPr="000D135F" w:rsidRDefault="007712E3" w:rsidP="007712E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</w:tcPr>
          <w:p w:rsidR="007712E3" w:rsidRPr="000D135F" w:rsidRDefault="007712E3" w:rsidP="007712E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3C1CBE" w:rsidRPr="000D135F" w:rsidRDefault="009A0A4F" w:rsidP="00A10F5E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i/>
          <w:color w:val="0000CC"/>
        </w:rPr>
      </w:pPr>
      <w:r w:rsidRPr="000D135F">
        <w:rPr>
          <w:rFonts w:ascii="Times New Roman" w:hAnsi="Times New Roman" w:cs="Times New Roman"/>
          <w:b/>
          <w:i/>
          <w:color w:val="0000CC"/>
        </w:rPr>
        <w:t>К</w:t>
      </w:r>
      <w:r w:rsidR="004718D8" w:rsidRPr="000D135F">
        <w:rPr>
          <w:rFonts w:ascii="Times New Roman" w:hAnsi="Times New Roman" w:cs="Times New Roman"/>
          <w:b/>
          <w:i/>
          <w:color w:val="0000CC"/>
        </w:rPr>
        <w:t xml:space="preserve">ратко описание и мотиви за </w:t>
      </w:r>
      <w:r w:rsidR="000A695A" w:rsidRPr="000D135F">
        <w:rPr>
          <w:rFonts w:ascii="Times New Roman" w:hAnsi="Times New Roman" w:cs="Times New Roman"/>
          <w:b/>
          <w:i/>
          <w:color w:val="0000CC"/>
        </w:rPr>
        <w:t>избора</w:t>
      </w:r>
      <w:r w:rsidR="004718D8" w:rsidRPr="000D135F">
        <w:rPr>
          <w:rFonts w:ascii="Times New Roman" w:hAnsi="Times New Roman" w:cs="Times New Roman"/>
          <w:b/>
          <w:i/>
          <w:color w:val="0000CC"/>
        </w:rPr>
        <w:t xml:space="preserve"> </w:t>
      </w:r>
      <w:r w:rsidRPr="000D135F">
        <w:rPr>
          <w:rFonts w:ascii="Times New Roman" w:hAnsi="Times New Roman" w:cs="Times New Roman"/>
          <w:b/>
          <w:i/>
          <w:color w:val="0000CC"/>
        </w:rPr>
        <w:t>на посочените индикатори.</w:t>
      </w:r>
    </w:p>
    <w:p w:rsidR="00452547" w:rsidRPr="000D135F" w:rsidRDefault="00452547" w:rsidP="00452547">
      <w:pPr>
        <w:pStyle w:val="ListParagraph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lang w:val="en-US"/>
        </w:rPr>
      </w:pPr>
      <w:r w:rsidRPr="000D135F">
        <w:rPr>
          <w:rFonts w:ascii="Times New Roman" w:eastAsia="Calibri" w:hAnsi="Times New Roman" w:cs="Times New Roman"/>
          <w:lang w:val="en-US"/>
        </w:rPr>
        <w:t xml:space="preserve">МРРБ е </w:t>
      </w:r>
      <w:proofErr w:type="spellStart"/>
      <w:r w:rsidRPr="000D135F">
        <w:rPr>
          <w:rFonts w:ascii="Times New Roman" w:eastAsia="Calibri" w:hAnsi="Times New Roman" w:cs="Times New Roman"/>
          <w:lang w:val="en-US"/>
        </w:rPr>
        <w:t>определено</w:t>
      </w:r>
      <w:proofErr w:type="spellEnd"/>
      <w:r w:rsidRPr="000D135F">
        <w:rPr>
          <w:rFonts w:ascii="Times New Roman" w:eastAsia="Calibri" w:hAnsi="Times New Roman" w:cs="Times New Roman"/>
          <w:lang w:val="en-US"/>
        </w:rPr>
        <w:t xml:space="preserve"> за </w:t>
      </w:r>
      <w:proofErr w:type="spellStart"/>
      <w:r w:rsidRPr="000D135F">
        <w:rPr>
          <w:rFonts w:ascii="Times New Roman" w:eastAsia="Calibri" w:hAnsi="Times New Roman" w:cs="Times New Roman"/>
          <w:lang w:val="en-US"/>
        </w:rPr>
        <w:t>водещо</w:t>
      </w:r>
      <w:proofErr w:type="spellEnd"/>
      <w:r w:rsidRPr="000D135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D135F">
        <w:rPr>
          <w:rFonts w:ascii="Times New Roman" w:eastAsia="Calibri" w:hAnsi="Times New Roman" w:cs="Times New Roman"/>
          <w:lang w:val="en-US"/>
        </w:rPr>
        <w:t>ведомство</w:t>
      </w:r>
      <w:proofErr w:type="spellEnd"/>
      <w:r w:rsidRPr="000D135F">
        <w:rPr>
          <w:rFonts w:ascii="Times New Roman" w:eastAsia="Calibri" w:hAnsi="Times New Roman" w:cs="Times New Roman"/>
          <w:lang w:val="en-US"/>
        </w:rPr>
        <w:t xml:space="preserve"> по разработването и изпълнението на  Приоритет 9 „</w:t>
      </w:r>
      <w:proofErr w:type="spellStart"/>
      <w:r w:rsidRPr="000D135F">
        <w:rPr>
          <w:rFonts w:ascii="Times New Roman" w:eastAsia="Calibri" w:hAnsi="Times New Roman" w:cs="Times New Roman"/>
          <w:lang w:val="en-US"/>
        </w:rPr>
        <w:t>Местно</w:t>
      </w:r>
      <w:proofErr w:type="spellEnd"/>
      <w:r w:rsidRPr="000D135F">
        <w:rPr>
          <w:rFonts w:ascii="Times New Roman" w:eastAsia="Calibri" w:hAnsi="Times New Roman" w:cs="Times New Roman"/>
          <w:lang w:val="en-US"/>
        </w:rPr>
        <w:t xml:space="preserve"> развитие“ от  </w:t>
      </w:r>
      <w:proofErr w:type="spellStart"/>
      <w:r w:rsidRPr="000D135F">
        <w:rPr>
          <w:rFonts w:ascii="Times New Roman" w:eastAsia="Calibri" w:hAnsi="Times New Roman" w:cs="Times New Roman"/>
          <w:lang w:val="en-US"/>
        </w:rPr>
        <w:t>Националната</w:t>
      </w:r>
      <w:proofErr w:type="spellEnd"/>
      <w:r w:rsidRPr="000D135F">
        <w:rPr>
          <w:rFonts w:ascii="Times New Roman" w:eastAsia="Calibri" w:hAnsi="Times New Roman" w:cs="Times New Roman"/>
          <w:lang w:val="en-US"/>
        </w:rPr>
        <w:t xml:space="preserve"> програма за развитие: БЪЛГАРИЯ 2030), съгласно </w:t>
      </w:r>
      <w:proofErr w:type="spellStart"/>
      <w:r w:rsidRPr="000D135F">
        <w:rPr>
          <w:rFonts w:ascii="Times New Roman" w:eastAsia="Calibri" w:hAnsi="Times New Roman" w:cs="Times New Roman"/>
          <w:lang w:val="en-US"/>
        </w:rPr>
        <w:t>приложение</w:t>
      </w:r>
      <w:proofErr w:type="spellEnd"/>
      <w:r w:rsidRPr="000D135F">
        <w:rPr>
          <w:rFonts w:ascii="Times New Roman" w:eastAsia="Calibri" w:hAnsi="Times New Roman" w:cs="Times New Roman"/>
          <w:lang w:val="en-US"/>
        </w:rPr>
        <w:t xml:space="preserve"> №2 на  </w:t>
      </w:r>
      <w:proofErr w:type="spellStart"/>
      <w:r w:rsidRPr="000D135F">
        <w:rPr>
          <w:rFonts w:ascii="Times New Roman" w:eastAsia="Calibri" w:hAnsi="Times New Roman" w:cs="Times New Roman"/>
          <w:lang w:val="en-US"/>
        </w:rPr>
        <w:t>Решение</w:t>
      </w:r>
      <w:proofErr w:type="spellEnd"/>
      <w:r w:rsidRPr="000D135F">
        <w:rPr>
          <w:rFonts w:ascii="Times New Roman" w:eastAsia="Calibri" w:hAnsi="Times New Roman" w:cs="Times New Roman"/>
          <w:lang w:val="en-US"/>
        </w:rPr>
        <w:t xml:space="preserve"> № 33 на </w:t>
      </w:r>
      <w:proofErr w:type="spellStart"/>
      <w:r w:rsidRPr="000D135F">
        <w:rPr>
          <w:rFonts w:ascii="Times New Roman" w:eastAsia="Calibri" w:hAnsi="Times New Roman" w:cs="Times New Roman"/>
          <w:lang w:val="en-US"/>
        </w:rPr>
        <w:t>Министерския</w:t>
      </w:r>
      <w:proofErr w:type="spellEnd"/>
      <w:r w:rsidRPr="000D135F">
        <w:rPr>
          <w:rFonts w:ascii="Times New Roman" w:eastAsia="Calibri" w:hAnsi="Times New Roman" w:cs="Times New Roman"/>
          <w:lang w:val="en-US"/>
        </w:rPr>
        <w:t xml:space="preserve"> съвет от 20.01.2020 г. </w:t>
      </w:r>
      <w:proofErr w:type="spellStart"/>
      <w:r w:rsidRPr="000D135F">
        <w:rPr>
          <w:rFonts w:ascii="Times New Roman" w:eastAsia="Calibri" w:hAnsi="Times New Roman" w:cs="Times New Roman"/>
          <w:lang w:val="en-US"/>
        </w:rPr>
        <w:t>Ключовите</w:t>
      </w:r>
      <w:proofErr w:type="spellEnd"/>
      <w:r w:rsidRPr="000D135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D135F">
        <w:rPr>
          <w:rFonts w:ascii="Times New Roman" w:eastAsia="Calibri" w:hAnsi="Times New Roman" w:cs="Times New Roman"/>
          <w:lang w:val="en-US"/>
        </w:rPr>
        <w:t>индикатори</w:t>
      </w:r>
      <w:proofErr w:type="spellEnd"/>
      <w:r w:rsidRPr="000D135F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0D135F">
        <w:rPr>
          <w:rFonts w:ascii="Times New Roman" w:eastAsia="Calibri" w:hAnsi="Times New Roman" w:cs="Times New Roman"/>
          <w:lang w:val="en-US"/>
        </w:rPr>
        <w:t>целеви</w:t>
      </w:r>
      <w:proofErr w:type="spellEnd"/>
      <w:r w:rsidRPr="000D135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D135F">
        <w:rPr>
          <w:rFonts w:ascii="Times New Roman" w:eastAsia="Calibri" w:hAnsi="Times New Roman" w:cs="Times New Roman"/>
          <w:lang w:val="en-US"/>
        </w:rPr>
        <w:t>стойности</w:t>
      </w:r>
      <w:proofErr w:type="spellEnd"/>
      <w:r w:rsidRPr="000D135F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0D135F">
        <w:rPr>
          <w:rFonts w:ascii="Times New Roman" w:eastAsia="Calibri" w:hAnsi="Times New Roman" w:cs="Times New Roman"/>
          <w:lang w:val="en-US"/>
        </w:rPr>
        <w:t>които</w:t>
      </w:r>
      <w:proofErr w:type="spellEnd"/>
      <w:r w:rsidRPr="000D135F">
        <w:rPr>
          <w:rFonts w:ascii="Times New Roman" w:eastAsia="Calibri" w:hAnsi="Times New Roman" w:cs="Times New Roman"/>
          <w:lang w:val="en-US"/>
        </w:rPr>
        <w:t xml:space="preserve"> се </w:t>
      </w:r>
      <w:proofErr w:type="spellStart"/>
      <w:r w:rsidRPr="000D135F">
        <w:rPr>
          <w:rFonts w:ascii="Times New Roman" w:eastAsia="Calibri" w:hAnsi="Times New Roman" w:cs="Times New Roman"/>
          <w:lang w:val="en-US"/>
        </w:rPr>
        <w:t>изпълняват</w:t>
      </w:r>
      <w:proofErr w:type="spellEnd"/>
      <w:r w:rsidRPr="000D135F">
        <w:rPr>
          <w:rFonts w:ascii="Times New Roman" w:eastAsia="Calibri" w:hAnsi="Times New Roman" w:cs="Times New Roman"/>
          <w:lang w:val="en-US"/>
        </w:rPr>
        <w:t xml:space="preserve"> в областта на </w:t>
      </w:r>
      <w:proofErr w:type="spellStart"/>
      <w:r w:rsidRPr="000D135F">
        <w:rPr>
          <w:rFonts w:ascii="Times New Roman" w:eastAsia="Calibri" w:hAnsi="Times New Roman" w:cs="Times New Roman"/>
          <w:lang w:val="en-US"/>
        </w:rPr>
        <w:t>политиката</w:t>
      </w:r>
      <w:proofErr w:type="spellEnd"/>
      <w:r w:rsidRPr="000D135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D135F">
        <w:rPr>
          <w:rFonts w:ascii="Times New Roman" w:eastAsia="Calibri" w:hAnsi="Times New Roman" w:cs="Times New Roman"/>
          <w:lang w:val="en-US"/>
        </w:rPr>
        <w:t>отговарят</w:t>
      </w:r>
      <w:proofErr w:type="spellEnd"/>
      <w:r w:rsidRPr="000D135F">
        <w:rPr>
          <w:rFonts w:ascii="Times New Roman" w:eastAsia="Calibri" w:hAnsi="Times New Roman" w:cs="Times New Roman"/>
          <w:lang w:val="en-US"/>
        </w:rPr>
        <w:t xml:space="preserve"> на </w:t>
      </w:r>
      <w:proofErr w:type="spellStart"/>
      <w:r w:rsidRPr="000D135F">
        <w:rPr>
          <w:rFonts w:ascii="Times New Roman" w:eastAsia="Calibri" w:hAnsi="Times New Roman" w:cs="Times New Roman"/>
          <w:lang w:val="en-US"/>
        </w:rPr>
        <w:t>целта</w:t>
      </w:r>
      <w:proofErr w:type="spellEnd"/>
      <w:r w:rsidRPr="000D135F">
        <w:rPr>
          <w:rFonts w:ascii="Times New Roman" w:eastAsia="Calibri" w:hAnsi="Times New Roman" w:cs="Times New Roman"/>
          <w:lang w:val="en-US"/>
        </w:rPr>
        <w:t xml:space="preserve"> на </w:t>
      </w:r>
      <w:proofErr w:type="spellStart"/>
      <w:r w:rsidRPr="000D135F">
        <w:rPr>
          <w:rFonts w:ascii="Times New Roman" w:eastAsia="Calibri" w:hAnsi="Times New Roman" w:cs="Times New Roman"/>
          <w:lang w:val="en-US"/>
        </w:rPr>
        <w:t>приоритета</w:t>
      </w:r>
      <w:proofErr w:type="spellEnd"/>
      <w:r w:rsidRPr="000D135F">
        <w:rPr>
          <w:rFonts w:ascii="Times New Roman" w:eastAsia="Calibri" w:hAnsi="Times New Roman" w:cs="Times New Roman"/>
          <w:lang w:val="en-US"/>
        </w:rPr>
        <w:t xml:space="preserve">, а </w:t>
      </w:r>
      <w:proofErr w:type="spellStart"/>
      <w:r w:rsidRPr="000D135F">
        <w:rPr>
          <w:rFonts w:ascii="Times New Roman" w:eastAsia="Calibri" w:hAnsi="Times New Roman" w:cs="Times New Roman"/>
          <w:lang w:val="en-US"/>
        </w:rPr>
        <w:t>именно</w:t>
      </w:r>
      <w:proofErr w:type="spellEnd"/>
      <w:r w:rsidRPr="000D135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D135F">
        <w:rPr>
          <w:rFonts w:ascii="Times New Roman" w:eastAsia="Calibri" w:hAnsi="Times New Roman" w:cs="Times New Roman"/>
          <w:lang w:val="en-US"/>
        </w:rPr>
        <w:t>оползотворяването</w:t>
      </w:r>
      <w:proofErr w:type="spellEnd"/>
      <w:r w:rsidRPr="000D135F">
        <w:rPr>
          <w:rFonts w:ascii="Times New Roman" w:eastAsia="Calibri" w:hAnsi="Times New Roman" w:cs="Times New Roman"/>
          <w:lang w:val="en-US"/>
        </w:rPr>
        <w:t xml:space="preserve"> на </w:t>
      </w:r>
      <w:proofErr w:type="spellStart"/>
      <w:r w:rsidRPr="000D135F">
        <w:rPr>
          <w:rFonts w:ascii="Times New Roman" w:eastAsia="Calibri" w:hAnsi="Times New Roman" w:cs="Times New Roman"/>
          <w:lang w:val="en-US"/>
        </w:rPr>
        <w:t>идентифицирания</w:t>
      </w:r>
      <w:proofErr w:type="spellEnd"/>
      <w:r w:rsidRPr="000D135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D135F">
        <w:rPr>
          <w:rFonts w:ascii="Times New Roman" w:eastAsia="Calibri" w:hAnsi="Times New Roman" w:cs="Times New Roman"/>
          <w:lang w:val="en-US"/>
        </w:rPr>
        <w:t>местен</w:t>
      </w:r>
      <w:proofErr w:type="spellEnd"/>
      <w:r w:rsidRPr="000D135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D135F">
        <w:rPr>
          <w:rFonts w:ascii="Times New Roman" w:eastAsia="Calibri" w:hAnsi="Times New Roman" w:cs="Times New Roman"/>
          <w:lang w:val="en-US"/>
        </w:rPr>
        <w:t>потенциал</w:t>
      </w:r>
      <w:proofErr w:type="spellEnd"/>
      <w:r w:rsidRPr="000D135F">
        <w:rPr>
          <w:rFonts w:ascii="Times New Roman" w:eastAsia="Calibri" w:hAnsi="Times New Roman" w:cs="Times New Roman"/>
          <w:lang w:val="en-US"/>
        </w:rPr>
        <w:t xml:space="preserve"> за развитие, както и </w:t>
      </w:r>
      <w:proofErr w:type="spellStart"/>
      <w:r w:rsidRPr="000D135F">
        <w:rPr>
          <w:rFonts w:ascii="Times New Roman" w:eastAsia="Calibri" w:hAnsi="Times New Roman" w:cs="Times New Roman"/>
          <w:lang w:val="en-US"/>
        </w:rPr>
        <w:t>адресиране</w:t>
      </w:r>
      <w:proofErr w:type="spellEnd"/>
      <w:r w:rsidRPr="000D135F">
        <w:rPr>
          <w:rFonts w:ascii="Times New Roman" w:eastAsia="Calibri" w:hAnsi="Times New Roman" w:cs="Times New Roman"/>
          <w:lang w:val="en-US"/>
        </w:rPr>
        <w:t xml:space="preserve"> на </w:t>
      </w:r>
      <w:proofErr w:type="spellStart"/>
      <w:r w:rsidRPr="000D135F">
        <w:rPr>
          <w:rFonts w:ascii="Times New Roman" w:eastAsia="Calibri" w:hAnsi="Times New Roman" w:cs="Times New Roman"/>
          <w:lang w:val="en-US"/>
        </w:rPr>
        <w:t>местните</w:t>
      </w:r>
      <w:proofErr w:type="spellEnd"/>
      <w:r w:rsidRPr="000D135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D135F">
        <w:rPr>
          <w:rFonts w:ascii="Times New Roman" w:eastAsia="Calibri" w:hAnsi="Times New Roman" w:cs="Times New Roman"/>
          <w:lang w:val="en-US"/>
        </w:rPr>
        <w:t>проблеми</w:t>
      </w:r>
      <w:proofErr w:type="spellEnd"/>
      <w:r w:rsidRPr="000D135F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0D135F">
        <w:rPr>
          <w:rFonts w:ascii="Times New Roman" w:eastAsia="Calibri" w:hAnsi="Times New Roman" w:cs="Times New Roman"/>
          <w:lang w:val="en-US"/>
        </w:rPr>
        <w:t>предизвикателства</w:t>
      </w:r>
      <w:proofErr w:type="spellEnd"/>
      <w:r w:rsidRPr="000D135F">
        <w:rPr>
          <w:rFonts w:ascii="Times New Roman" w:eastAsia="Calibri" w:hAnsi="Times New Roman" w:cs="Times New Roman"/>
          <w:lang w:val="en-US"/>
        </w:rPr>
        <w:t xml:space="preserve"> и не е </w:t>
      </w:r>
      <w:proofErr w:type="spellStart"/>
      <w:r w:rsidRPr="000D135F">
        <w:rPr>
          <w:rFonts w:ascii="Times New Roman" w:eastAsia="Calibri" w:hAnsi="Times New Roman" w:cs="Times New Roman"/>
          <w:lang w:val="en-US"/>
        </w:rPr>
        <w:t>необходимо</w:t>
      </w:r>
      <w:proofErr w:type="spellEnd"/>
      <w:r w:rsidRPr="000D135F">
        <w:rPr>
          <w:rFonts w:ascii="Times New Roman" w:eastAsia="Calibri" w:hAnsi="Times New Roman" w:cs="Times New Roman"/>
          <w:lang w:val="en-US"/>
        </w:rPr>
        <w:t xml:space="preserve"> да бъдат </w:t>
      </w:r>
      <w:proofErr w:type="spellStart"/>
      <w:r w:rsidRPr="000D135F">
        <w:rPr>
          <w:rFonts w:ascii="Times New Roman" w:eastAsia="Calibri" w:hAnsi="Times New Roman" w:cs="Times New Roman"/>
          <w:lang w:val="en-US"/>
        </w:rPr>
        <w:t>актуализирани</w:t>
      </w:r>
      <w:proofErr w:type="spellEnd"/>
      <w:r w:rsidRPr="000D135F">
        <w:rPr>
          <w:rFonts w:ascii="Times New Roman" w:eastAsia="Calibri" w:hAnsi="Times New Roman" w:cs="Times New Roman"/>
          <w:lang w:val="en-US"/>
        </w:rPr>
        <w:t>.</w:t>
      </w:r>
    </w:p>
    <w:p w:rsidR="000E4D10" w:rsidRPr="000D135F" w:rsidRDefault="00A14899" w:rsidP="00452547">
      <w:pPr>
        <w:pStyle w:val="ListParagraph"/>
        <w:numPr>
          <w:ilvl w:val="0"/>
          <w:numId w:val="2"/>
        </w:numPr>
        <w:spacing w:after="0" w:line="240" w:lineRule="auto"/>
        <w:ind w:left="0" w:firstLine="556"/>
        <w:jc w:val="both"/>
        <w:rPr>
          <w:rFonts w:ascii="Times New Roman" w:eastAsia="Calibri" w:hAnsi="Times New Roman" w:cs="Times New Roman"/>
          <w:lang w:val="en-US"/>
        </w:rPr>
      </w:pPr>
      <w:r w:rsidRPr="000D135F">
        <w:rPr>
          <w:rFonts w:ascii="Times New Roman" w:eastAsia="Calibri" w:hAnsi="Times New Roman" w:cs="Times New Roman"/>
          <w:b/>
          <w:i/>
        </w:rPr>
        <w:t>Индикатор</w:t>
      </w:r>
      <w:r w:rsidR="00CB1305" w:rsidRPr="000D135F">
        <w:rPr>
          <w:rFonts w:ascii="Times New Roman" w:eastAsia="Calibri" w:hAnsi="Times New Roman" w:cs="Times New Roman"/>
          <w:b/>
          <w:i/>
        </w:rPr>
        <w:t xml:space="preserve"> </w:t>
      </w:r>
      <w:r w:rsidR="007222CD" w:rsidRPr="000D135F">
        <w:rPr>
          <w:rFonts w:ascii="Times New Roman" w:eastAsia="Calibri" w:hAnsi="Times New Roman" w:cs="Times New Roman"/>
          <w:b/>
          <w:i/>
        </w:rPr>
        <w:t>„</w:t>
      </w:r>
      <w:r w:rsidR="007222CD" w:rsidRPr="000D135F">
        <w:rPr>
          <w:rFonts w:ascii="Times New Roman" w:eastAsia="Times New Roman" w:hAnsi="Times New Roman" w:cs="Times New Roman"/>
          <w:b/>
          <w:i/>
          <w:lang w:eastAsia="bg-BG"/>
        </w:rPr>
        <w:t>Изпълнение на Пътна карта за нови подходи в регионалната политика</w:t>
      </w:r>
      <w:r w:rsidR="007222CD" w:rsidRPr="000D135F">
        <w:rPr>
          <w:rFonts w:ascii="Times New Roman" w:eastAsia="Times New Roman" w:hAnsi="Times New Roman" w:cs="Times New Roman"/>
          <w:b/>
          <w:i/>
          <w:lang w:val="en-US" w:eastAsia="bg-BG"/>
        </w:rPr>
        <w:t xml:space="preserve"> </w:t>
      </w:r>
      <w:r w:rsidR="007222CD" w:rsidRPr="000D135F">
        <w:rPr>
          <w:rFonts w:ascii="Times New Roman" w:eastAsia="Times New Roman" w:hAnsi="Times New Roman" w:cs="Times New Roman"/>
          <w:b/>
          <w:i/>
          <w:lang w:eastAsia="bg-BG"/>
        </w:rPr>
        <w:t>с цел създаване на условия за балансирано териториално развитие“</w:t>
      </w:r>
      <w:r w:rsidR="007222CD" w:rsidRPr="000D135F">
        <w:rPr>
          <w:rFonts w:ascii="Times New Roman" w:eastAsia="Calibri" w:hAnsi="Times New Roman" w:cs="Times New Roman"/>
        </w:rPr>
        <w:t xml:space="preserve"> </w:t>
      </w:r>
      <w:r w:rsidR="00452547" w:rsidRPr="000D135F">
        <w:rPr>
          <w:rFonts w:ascii="Times New Roman" w:eastAsia="Calibri" w:hAnsi="Times New Roman" w:cs="Times New Roman"/>
        </w:rPr>
        <w:t>е свързан с работата на ГД СППРР в областта на стратегическото планиране на регионалното развитие и обхваща всички дейности, които дирекцията извършва в тази сфера. Целта е към 2022 г. да се достигне 100% изпълнение. Предвижда се през 2022 г. да бъде разработена нова Пътна карта за реализиране на регионалната политика с цел създаване на условия за балансирано териториално развитие, чието  изпълнение да стартира през  2023 г. и до края на 2024 г. да бъдат изпълнени 30% от дейностите, които ще бъдат заложени в нея. Индикаторът отчита изпълнението на всички посочени стратегически и оперативни цели, посочени в документа</w:t>
      </w:r>
      <w:r w:rsidR="000E4D10" w:rsidRPr="000D135F">
        <w:rPr>
          <w:rFonts w:ascii="Times New Roman" w:eastAsia="Calibri" w:hAnsi="Times New Roman" w:cs="Times New Roman"/>
          <w:lang w:val="en-US"/>
        </w:rPr>
        <w:t>;</w:t>
      </w:r>
    </w:p>
    <w:p w:rsidR="00CB1305" w:rsidRPr="000D135F" w:rsidRDefault="00A14899" w:rsidP="00F266DB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0D135F">
        <w:rPr>
          <w:rFonts w:ascii="Times New Roman" w:eastAsia="Calibri" w:hAnsi="Times New Roman" w:cs="Times New Roman"/>
          <w:b/>
          <w:i/>
        </w:rPr>
        <w:t>Индикатор</w:t>
      </w:r>
      <w:r w:rsidR="00CB1305" w:rsidRPr="000D135F">
        <w:rPr>
          <w:rFonts w:ascii="Times New Roman" w:eastAsia="Calibri" w:hAnsi="Times New Roman" w:cs="Times New Roman"/>
          <w:b/>
          <w:i/>
        </w:rPr>
        <w:t xml:space="preserve"> </w:t>
      </w:r>
      <w:r w:rsidR="007222CD" w:rsidRPr="000D135F">
        <w:rPr>
          <w:rFonts w:ascii="Times New Roman" w:eastAsia="Calibri" w:hAnsi="Times New Roman" w:cs="Times New Roman"/>
          <w:b/>
          <w:i/>
        </w:rPr>
        <w:t>„</w:t>
      </w:r>
      <w:r w:rsidR="007222CD" w:rsidRPr="000D135F">
        <w:rPr>
          <w:rFonts w:ascii="Times New Roman" w:eastAsia="Times New Roman" w:hAnsi="Times New Roman" w:cs="Times New Roman"/>
          <w:b/>
          <w:i/>
          <w:lang w:eastAsia="bg-BG"/>
        </w:rPr>
        <w:t>Намаляване на дела на мигриралото население“</w:t>
      </w:r>
      <w:r w:rsidR="007222CD" w:rsidRPr="000D135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="00F266DB" w:rsidRPr="000D135F">
        <w:rPr>
          <w:rFonts w:ascii="Times New Roman" w:eastAsia="Calibri" w:hAnsi="Times New Roman" w:cs="Times New Roman"/>
        </w:rPr>
        <w:t xml:space="preserve">е свързан с изпълнението на ОПРР 2014-2020 г. Една от основните цели на ОПРР 2014-2020 г. е именно намаляване на вътрешната миграция на населението в България. Целта е делът на мигриралото население между областите в страната и по-конкретно към София и останалите големи градове да намалява, защото чрез проектите по ОПРР 2014-2020 се създават условия за задържане на населението в градовете/областите. Същевременно формулировката на </w:t>
      </w:r>
      <w:r w:rsidR="003666DF" w:rsidRPr="000D135F">
        <w:rPr>
          <w:rFonts w:ascii="Times New Roman" w:eastAsia="Calibri" w:hAnsi="Times New Roman" w:cs="Times New Roman"/>
        </w:rPr>
        <w:t>индикатора</w:t>
      </w:r>
      <w:r w:rsidR="00F266DB" w:rsidRPr="000D135F">
        <w:rPr>
          <w:rFonts w:ascii="Times New Roman" w:eastAsia="Calibri" w:hAnsi="Times New Roman" w:cs="Times New Roman"/>
        </w:rPr>
        <w:t xml:space="preserve"> (дял на мигриралото население – вътрешна миграция от общия брой на населението, а не абсолютната стойност на мигриралото население) преодолява зависимостта между намалението на миграцията и общото намаляване на населението в България. Тъй като върху намалението на вътрешната миграция на населението влияят много фактори, оценката на въздействието на ОПРР 2014-2020 г., предвидена да се проведе през периода 2021-2022 г. ще оцени приноса на програмата за изменението на този индикатор. Също така, през 2021 г. ще се извърши преброяване на населението в България, което ще даде по-изчерпателна представа за процесите на миграция в България. Текущите данни за този индикатор са публични и официални от интернет-страницата на НСИ. Към 31.12.2019 г. общия брой на населението на страната е 6 951 482 души, броя на мигриралото население вътре в страната е 168 120 души (изселени), а делът на мигриралото население (вътрешна миграция) е 2,04%. Индикаторът отчита изпълнението на всички посочени стратегически и оперативни цели, посочени в документа</w:t>
      </w:r>
      <w:r w:rsidR="004C55E9" w:rsidRPr="000D135F">
        <w:rPr>
          <w:rFonts w:ascii="Times New Roman" w:eastAsia="Calibri" w:hAnsi="Times New Roman" w:cs="Times New Roman"/>
          <w:lang w:val="en-US"/>
        </w:rPr>
        <w:t>;</w:t>
      </w:r>
    </w:p>
    <w:p w:rsidR="00FB568B" w:rsidRPr="000D135F" w:rsidRDefault="00A14899" w:rsidP="00ED6FBD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  <w:b/>
          <w:i/>
        </w:rPr>
        <w:t>Индикатор</w:t>
      </w:r>
      <w:r w:rsidR="007222CD" w:rsidRPr="000D135F">
        <w:rPr>
          <w:rFonts w:ascii="Times New Roman" w:hAnsi="Times New Roman" w:cs="Times New Roman"/>
          <w:b/>
          <w:i/>
        </w:rPr>
        <w:t xml:space="preserve"> „Брой реконструирани/възстановени културни и исторически обекти“</w:t>
      </w:r>
      <w:r w:rsidR="00FB568B" w:rsidRPr="000D135F">
        <w:rPr>
          <w:rFonts w:ascii="Times New Roman" w:hAnsi="Times New Roman" w:cs="Times New Roman"/>
          <w:b/>
          <w:i/>
        </w:rPr>
        <w:t xml:space="preserve">, „Население, възползващо се от мерки за защита от наводнения или горски пожари“, „Общ брой младежи, включени в схеми за младежко предприемачество и инициативи“ и „Брой участници в инициативи за обучение и квалификация“ </w:t>
      </w:r>
      <w:r w:rsidR="00FB568B" w:rsidRPr="000D135F">
        <w:rPr>
          <w:rFonts w:ascii="Times New Roman" w:hAnsi="Times New Roman" w:cs="Times New Roman"/>
        </w:rPr>
        <w:t>измерват стратегическа цел „Развитие на транснационално и междурегионално сътрудничество в следните приоритети: иновации, околна среда, туризъм, достъпност и устойчиво градско развитие“.</w:t>
      </w:r>
    </w:p>
    <w:p w:rsidR="0006563D" w:rsidRPr="000D135F" w:rsidRDefault="00A14899" w:rsidP="00A12862">
      <w:pPr>
        <w:pStyle w:val="ListParagraph"/>
        <w:numPr>
          <w:ilvl w:val="0"/>
          <w:numId w:val="3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0D135F">
        <w:rPr>
          <w:rFonts w:ascii="Times New Roman" w:eastAsia="Calibri" w:hAnsi="Times New Roman" w:cs="Times New Roman"/>
          <w:b/>
          <w:i/>
        </w:rPr>
        <w:t>Индикатор</w:t>
      </w:r>
      <w:r w:rsidR="0006563D" w:rsidRPr="000D135F">
        <w:rPr>
          <w:rFonts w:ascii="Times New Roman" w:eastAsia="Calibri" w:hAnsi="Times New Roman" w:cs="Times New Roman"/>
          <w:b/>
          <w:i/>
        </w:rPr>
        <w:t xml:space="preserve"> „Нарастване потенциала на АТЕ за ефективно и ефикасно планиране, управление и използване на ресурсите за устойчиво местно развитие“</w:t>
      </w:r>
      <w:r w:rsidR="0006563D" w:rsidRPr="000D135F">
        <w:rPr>
          <w:rFonts w:ascii="Times New Roman" w:eastAsia="Calibri" w:hAnsi="Times New Roman" w:cs="Times New Roman"/>
        </w:rPr>
        <w:t xml:space="preserve"> и </w:t>
      </w:r>
      <w:r w:rsidR="0006563D" w:rsidRPr="000D135F">
        <w:rPr>
          <w:rFonts w:ascii="Times New Roman" w:eastAsia="Calibri" w:hAnsi="Times New Roman" w:cs="Times New Roman"/>
          <w:b/>
          <w:i/>
        </w:rPr>
        <w:t>„Обезпечаване на територията на страната с общи устройствени планове“</w:t>
      </w:r>
      <w:r w:rsidR="0006563D" w:rsidRPr="000D135F">
        <w:rPr>
          <w:rFonts w:ascii="Times New Roman" w:eastAsia="Calibri" w:hAnsi="Times New Roman" w:cs="Times New Roman"/>
        </w:rPr>
        <w:t xml:space="preserve"> измерват стратегическа цел „</w:t>
      </w:r>
      <w:r w:rsidR="00A12862" w:rsidRPr="000D135F">
        <w:rPr>
          <w:rFonts w:ascii="Times New Roman" w:eastAsia="Calibri" w:hAnsi="Times New Roman" w:cs="Times New Roman"/>
        </w:rPr>
        <w:t>Създаване на съвременна нормативна база, подобрена междуинституционална координация и сътрудничество със заинтересованите страни, както и привличане на повече ресурси за реформиране и модернизиране на досегашните стандарти и политики в областта на административното деление и териториалното управление, децентрализацията и развитието на местното самоуправление и местната демокрация</w:t>
      </w:r>
      <w:r w:rsidR="0006563D" w:rsidRPr="000D135F">
        <w:rPr>
          <w:rFonts w:ascii="Times New Roman" w:eastAsia="Calibri" w:hAnsi="Times New Roman" w:cs="Times New Roman"/>
        </w:rPr>
        <w:t>“</w:t>
      </w:r>
      <w:r w:rsidR="00757C4B" w:rsidRPr="000D135F">
        <w:rPr>
          <w:rFonts w:ascii="Times New Roman" w:eastAsia="Calibri" w:hAnsi="Times New Roman" w:cs="Times New Roman"/>
        </w:rPr>
        <w:t>.</w:t>
      </w:r>
    </w:p>
    <w:p w:rsidR="008E400C" w:rsidRPr="000D135F" w:rsidRDefault="008E400C" w:rsidP="00A10F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CC"/>
        </w:rPr>
      </w:pPr>
    </w:p>
    <w:p w:rsidR="00A10F5E" w:rsidRPr="000D135F" w:rsidRDefault="006B2804" w:rsidP="00A10F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CC"/>
        </w:rPr>
      </w:pPr>
      <w:r w:rsidRPr="000D135F">
        <w:rPr>
          <w:rFonts w:ascii="Times New Roman" w:eastAsia="Calibri" w:hAnsi="Times New Roman" w:cs="Times New Roman"/>
          <w:b/>
          <w:i/>
          <w:color w:val="0000CC"/>
        </w:rPr>
        <w:lastRenderedPageBreak/>
        <w:t xml:space="preserve">2100.02.00 </w:t>
      </w:r>
      <w:r w:rsidR="00740960" w:rsidRPr="000D135F">
        <w:rPr>
          <w:rFonts w:ascii="Times New Roman" w:eastAsia="Calibri" w:hAnsi="Times New Roman" w:cs="Times New Roman"/>
          <w:b/>
          <w:i/>
          <w:color w:val="0000CC"/>
        </w:rPr>
        <w:t>„</w:t>
      </w:r>
      <w:r w:rsidRPr="000D135F">
        <w:rPr>
          <w:rFonts w:ascii="Times New Roman" w:eastAsia="Calibri" w:hAnsi="Times New Roman" w:cs="Times New Roman"/>
          <w:b/>
          <w:i/>
          <w:color w:val="0000CC"/>
        </w:rPr>
        <w:t xml:space="preserve">ПОЛИТИКА ЗА </w:t>
      </w:r>
      <w:r w:rsidR="00567CD4" w:rsidRPr="000D135F">
        <w:rPr>
          <w:rFonts w:ascii="Times New Roman" w:eastAsia="Calibri" w:hAnsi="Times New Roman" w:cs="Times New Roman"/>
          <w:b/>
          <w:i/>
          <w:color w:val="0000CC"/>
        </w:rPr>
        <w:t xml:space="preserve">ПОДОБРЯВАНЕ НА ИНВЕСТИЦИОННИЯ ПРОЦЕС, </w:t>
      </w:r>
      <w:r w:rsidRPr="000D135F">
        <w:rPr>
          <w:rFonts w:ascii="Times New Roman" w:eastAsia="Calibri" w:hAnsi="Times New Roman" w:cs="Times New Roman"/>
          <w:b/>
          <w:i/>
          <w:color w:val="0000CC"/>
        </w:rPr>
        <w:t>ПОДДЪРЖАНЕ,</w:t>
      </w:r>
      <w:r w:rsidRPr="000D135F">
        <w:rPr>
          <w:rFonts w:ascii="Times New Roman" w:eastAsia="Calibri" w:hAnsi="Times New Roman" w:cs="Times New Roman"/>
          <w:b/>
          <w:i/>
          <w:color w:val="0000CC"/>
          <w:lang w:val="en-US"/>
        </w:rPr>
        <w:t xml:space="preserve"> </w:t>
      </w:r>
      <w:r w:rsidRPr="000D135F">
        <w:rPr>
          <w:rFonts w:ascii="Times New Roman" w:eastAsia="Calibri" w:hAnsi="Times New Roman" w:cs="Times New Roman"/>
          <w:b/>
          <w:i/>
          <w:color w:val="0000CC"/>
        </w:rPr>
        <w:t>МОДЕРНИЗАЦИЯ И ИЗГРАЖДАНЕ НА ТЕХНИЧЕСКАТА ИНФРАСТРУКТУРА</w:t>
      </w:r>
      <w:r w:rsidR="00567CD4" w:rsidRPr="000D135F">
        <w:rPr>
          <w:rFonts w:ascii="Times New Roman" w:eastAsia="Calibri" w:hAnsi="Times New Roman" w:cs="Times New Roman"/>
          <w:b/>
          <w:i/>
          <w:color w:val="0000CC"/>
        </w:rPr>
        <w:t>“</w:t>
      </w:r>
    </w:p>
    <w:p w:rsidR="00567CD4" w:rsidRPr="000D135F" w:rsidRDefault="00567CD4" w:rsidP="00A10F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CC"/>
        </w:rPr>
      </w:pPr>
    </w:p>
    <w:p w:rsidR="006B2804" w:rsidRPr="000D135F" w:rsidRDefault="006B2804" w:rsidP="00A10F5E">
      <w:pPr>
        <w:pStyle w:val="ListParagraph"/>
        <w:numPr>
          <w:ilvl w:val="0"/>
          <w:numId w:val="1"/>
        </w:numPr>
        <w:spacing w:after="0" w:line="240" w:lineRule="auto"/>
        <w:ind w:firstLine="65"/>
        <w:jc w:val="both"/>
        <w:rPr>
          <w:rFonts w:ascii="Times New Roman" w:hAnsi="Times New Roman" w:cs="Times New Roman"/>
          <w:b/>
          <w:i/>
          <w:color w:val="0000CC"/>
        </w:rPr>
      </w:pPr>
      <w:r w:rsidRPr="000D135F">
        <w:rPr>
          <w:rFonts w:ascii="Times New Roman" w:hAnsi="Times New Roman" w:cs="Times New Roman"/>
          <w:b/>
          <w:i/>
          <w:color w:val="0000CC"/>
        </w:rPr>
        <w:t>Кратко описание на обхвата на областта на политиката, за която ПРБ отговаря</w:t>
      </w:r>
    </w:p>
    <w:p w:rsidR="00ED46CF" w:rsidRPr="000D135F" w:rsidRDefault="00D91502" w:rsidP="00A10F5E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000000"/>
        </w:rPr>
      </w:pPr>
      <w:r w:rsidRPr="000D135F">
        <w:rPr>
          <w:rFonts w:ascii="Times New Roman" w:hAnsi="Times New Roman" w:cs="Times New Roman"/>
          <w:b/>
          <w:i/>
          <w:color w:val="000000"/>
        </w:rPr>
        <w:t>По отношение на Агенция „Пътна инфраструктура“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SimSun" w:hAnsi="Times New Roman" w:cs="Times New Roman"/>
        </w:rPr>
      </w:pPr>
      <w:r w:rsidRPr="000D135F">
        <w:rPr>
          <w:rFonts w:ascii="Times New Roman" w:hAnsi="Times New Roman" w:cs="Times New Roman"/>
        </w:rPr>
        <w:t xml:space="preserve">Визията за развитието на </w:t>
      </w:r>
      <w:r w:rsidRPr="000D135F">
        <w:rPr>
          <w:rFonts w:ascii="Times New Roman" w:eastAsia="SimSun" w:hAnsi="Times New Roman" w:cs="Times New Roman"/>
        </w:rPr>
        <w:t>изпълняваната от АПИ политика</w:t>
      </w:r>
      <w:r w:rsidRPr="000D135F">
        <w:rPr>
          <w:rFonts w:ascii="Times New Roman" w:hAnsi="Times New Roman" w:cs="Times New Roman"/>
        </w:rPr>
        <w:t xml:space="preserve"> е тясно обвързана с водещите приоритети, </w:t>
      </w:r>
      <w:r w:rsidRPr="000D135F">
        <w:rPr>
          <w:rFonts w:ascii="Times New Roman" w:eastAsia="SimSun" w:hAnsi="Times New Roman" w:cs="Times New Roman"/>
        </w:rPr>
        <w:t>посочени в регламент (ЕС) №1315/2013 на Европейския парламент и на съвета на от 11 декември 2013 година, относно насоките на Съюза за развитието на трансевропейската пътна мрежа и за отмяна на Решение № 661/2010/ЕС, последно обновен с Делегиран регламент (ЕС) 2019/254 на Комисията от 9 Ноември 2019 г., са описани и зададени общите срокове и критерии за развитие на основната и широкообхватна (разширената) трансевропейска транспортна мрежа.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SimSun" w:hAnsi="Times New Roman" w:cs="Times New Roman"/>
        </w:rPr>
      </w:pPr>
      <w:r w:rsidRPr="000D135F">
        <w:rPr>
          <w:rFonts w:ascii="Times New Roman" w:eastAsia="SimSun" w:hAnsi="Times New Roman" w:cs="Times New Roman"/>
        </w:rPr>
        <w:t>Основната цел на изпълняваната от АПИ политика е описана в Национална програма за развитие БЪЛГАРИЯ 2030, приета с протокол №67 на Министерски съвет от 02.12.2020 г., като през периода 2022-2025 г. ще продължи да бъде осигуряването на по-добра свързаност и достъпност между населените места в страната. Усилията за подобряване на съществуващата инфраструктура за автомобилен транспорт ще доведат до подобряване на условията за бизнес и търговия, като същевременно способстват и за постигането на по-високо ниво на безопасност в транспортната система на страната. Приоритетът ще има значителна роля в изпълнението на Цел 3 „Осигуряване на здравословен живот и насърчаване благосъстоянието на всички във всяка възраст“ и Цел 11 „Превръщане на градовете и селищата в приобщаващи, безопасни, адаптивни и устойчиви места за живеене“ от Целите за устойчиво развитие на ООН.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>Ефективното поддържане, модернизация и развитие на транспортната инфраструктура е приоритет, включващ конкретни цели и мерки за реализирането му.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  <w:r w:rsidRPr="000D135F">
        <w:rPr>
          <w:rFonts w:ascii="Times New Roman" w:eastAsia="Times New Roman" w:hAnsi="Times New Roman" w:cs="Times New Roman"/>
          <w:b/>
          <w:i/>
          <w:lang w:eastAsia="bg-BG"/>
        </w:rPr>
        <w:t xml:space="preserve">Стратегически цели: </w:t>
      </w:r>
      <w:r w:rsidRPr="000D135F">
        <w:rPr>
          <w:rFonts w:ascii="Times New Roman" w:eastAsia="Times New Roman" w:hAnsi="Times New Roman" w:cs="Times New Roman"/>
          <w:b/>
          <w:i/>
          <w:lang w:eastAsia="bg-BG"/>
        </w:rPr>
        <w:tab/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>•</w:t>
      </w:r>
      <w:r w:rsidRPr="000D135F">
        <w:rPr>
          <w:rFonts w:ascii="Times New Roman" w:eastAsia="Times New Roman" w:hAnsi="Times New Roman" w:cs="Times New Roman"/>
          <w:lang w:eastAsia="bg-BG"/>
        </w:rPr>
        <w:tab/>
        <w:t>Развитие на устойчива пътна инфраструктура;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>•</w:t>
      </w:r>
      <w:r w:rsidRPr="000D135F">
        <w:rPr>
          <w:rFonts w:ascii="Times New Roman" w:eastAsia="Times New Roman" w:hAnsi="Times New Roman" w:cs="Times New Roman"/>
          <w:lang w:eastAsia="bg-BG"/>
        </w:rPr>
        <w:tab/>
        <w:t>Интеграция на пътната инфраструктура в Европейската транспортна мрежа;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>•</w:t>
      </w:r>
      <w:r w:rsidRPr="000D135F">
        <w:rPr>
          <w:rFonts w:ascii="Times New Roman" w:eastAsia="Times New Roman" w:hAnsi="Times New Roman" w:cs="Times New Roman"/>
          <w:lang w:eastAsia="bg-BG"/>
        </w:rPr>
        <w:tab/>
        <w:t>Подобряване на безопасността на пътната инфраструктура;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>•</w:t>
      </w:r>
      <w:r w:rsidRPr="000D135F">
        <w:rPr>
          <w:rFonts w:ascii="Times New Roman" w:eastAsia="Times New Roman" w:hAnsi="Times New Roman" w:cs="Times New Roman"/>
          <w:lang w:eastAsia="bg-BG"/>
        </w:rPr>
        <w:tab/>
        <w:t>Ефективно управление на пътния сектор.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  <w:r w:rsidRPr="000D135F">
        <w:rPr>
          <w:rFonts w:ascii="Times New Roman" w:eastAsia="Times New Roman" w:hAnsi="Times New Roman" w:cs="Times New Roman"/>
          <w:b/>
          <w:i/>
          <w:lang w:eastAsia="bg-BG"/>
        </w:rPr>
        <w:t xml:space="preserve">Оперативни цели: </w:t>
      </w:r>
      <w:r w:rsidRPr="000D135F">
        <w:rPr>
          <w:rFonts w:ascii="Times New Roman" w:eastAsia="Times New Roman" w:hAnsi="Times New Roman" w:cs="Times New Roman"/>
          <w:b/>
          <w:i/>
          <w:lang w:eastAsia="bg-BG"/>
        </w:rPr>
        <w:tab/>
      </w:r>
      <w:r w:rsidRPr="000D135F">
        <w:rPr>
          <w:rFonts w:ascii="Times New Roman" w:eastAsia="Times New Roman" w:hAnsi="Times New Roman" w:cs="Times New Roman"/>
          <w:b/>
          <w:i/>
          <w:lang w:eastAsia="bg-BG"/>
        </w:rPr>
        <w:tab/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>•</w:t>
      </w:r>
      <w:r w:rsidRPr="000D135F">
        <w:rPr>
          <w:rFonts w:ascii="Times New Roman" w:eastAsia="Times New Roman" w:hAnsi="Times New Roman" w:cs="Times New Roman"/>
          <w:lang w:eastAsia="bg-BG"/>
        </w:rPr>
        <w:tab/>
        <w:t>Привеждане на пътната инфраструктура в устойчиво състояние;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>•</w:t>
      </w:r>
      <w:r w:rsidRPr="000D135F">
        <w:rPr>
          <w:rFonts w:ascii="Times New Roman" w:eastAsia="Times New Roman" w:hAnsi="Times New Roman" w:cs="Times New Roman"/>
          <w:lang w:eastAsia="bg-BG"/>
        </w:rPr>
        <w:tab/>
        <w:t>Подобряване достъпността до периферните и слабо урбанизираните територии;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>•</w:t>
      </w:r>
      <w:r w:rsidRPr="000D135F">
        <w:rPr>
          <w:rFonts w:ascii="Times New Roman" w:eastAsia="Times New Roman" w:hAnsi="Times New Roman" w:cs="Times New Roman"/>
          <w:lang w:eastAsia="bg-BG"/>
        </w:rPr>
        <w:tab/>
        <w:t xml:space="preserve">Ускорено изграждане на магистралите и интеграция на националната пътна мрежа с европейската транспортна инфраструктура; 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>•</w:t>
      </w:r>
      <w:r w:rsidRPr="000D135F">
        <w:rPr>
          <w:rFonts w:ascii="Times New Roman" w:eastAsia="Times New Roman" w:hAnsi="Times New Roman" w:cs="Times New Roman"/>
          <w:lang w:eastAsia="bg-BG"/>
        </w:rPr>
        <w:tab/>
        <w:t>Поддържане и развитие на републиканската пътна инфраструктура в съответствие със съвременните изисквания на автомобилния транспорт чрез изграждане на националната мрежа от магистрали и скоростни пътища, свързването й с европейските транспортни коридори;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>•</w:t>
      </w:r>
      <w:r w:rsidRPr="000D135F">
        <w:rPr>
          <w:rFonts w:ascii="Times New Roman" w:eastAsia="Times New Roman" w:hAnsi="Times New Roman" w:cs="Times New Roman"/>
          <w:lang w:eastAsia="bg-BG"/>
        </w:rPr>
        <w:tab/>
        <w:t>Оптимизиране финансирането на пътния сектор;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>•</w:t>
      </w:r>
      <w:r w:rsidRPr="000D135F">
        <w:rPr>
          <w:rFonts w:ascii="Times New Roman" w:eastAsia="Times New Roman" w:hAnsi="Times New Roman" w:cs="Times New Roman"/>
          <w:lang w:eastAsia="bg-BG"/>
        </w:rPr>
        <w:tab/>
        <w:t>Осигуряване съпоставимо с европейската практика високо ниво на транспортна достъпност на територията на Република България;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>•</w:t>
      </w:r>
      <w:r w:rsidRPr="000D135F">
        <w:rPr>
          <w:rFonts w:ascii="Times New Roman" w:eastAsia="Times New Roman" w:hAnsi="Times New Roman" w:cs="Times New Roman"/>
          <w:lang w:eastAsia="bg-BG"/>
        </w:rPr>
        <w:tab/>
        <w:t>Въвеждане на Планове за управление на околната среда, Мерки за непредвидени замърсявания и Планове за наблюдение на въздействието върху околната среда (съдържащи и описание на организацията за изпълнението), вкл. изисквания по отношение на води, въздух, климат, отпадъци, биоразнообразие и шум, като неразделна част от договорите за строителство;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>•</w:t>
      </w:r>
      <w:r w:rsidRPr="000D135F">
        <w:rPr>
          <w:rFonts w:ascii="Times New Roman" w:eastAsia="Times New Roman" w:hAnsi="Times New Roman" w:cs="Times New Roman"/>
          <w:lang w:eastAsia="bg-BG"/>
        </w:rPr>
        <w:tab/>
        <w:t>Предотвратяване появата и разрастването на свлачищни процеси, на ерозията и абразията на водата и възстановяване на нанесените щети на населените места и техническата инфраструктура;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>•</w:t>
      </w:r>
      <w:r w:rsidRPr="000D135F">
        <w:rPr>
          <w:rFonts w:ascii="Times New Roman" w:eastAsia="Times New Roman" w:hAnsi="Times New Roman" w:cs="Times New Roman"/>
          <w:lang w:eastAsia="bg-BG"/>
        </w:rPr>
        <w:tab/>
        <w:t xml:space="preserve">Въвеждане на модел за таксуване за ползване на републиканската пътна мрежа – чрез въвеждане на смесена система: електронна винетка за леки автомобили и тол такса за изминато разстояние за тежкотоварните автомобили. 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lastRenderedPageBreak/>
        <w:t>•</w:t>
      </w:r>
      <w:r w:rsidRPr="000D135F">
        <w:rPr>
          <w:rFonts w:ascii="Times New Roman" w:eastAsia="Times New Roman" w:hAnsi="Times New Roman" w:cs="Times New Roman"/>
          <w:lang w:eastAsia="bg-BG"/>
        </w:rPr>
        <w:tab/>
        <w:t xml:space="preserve"> Осигуряване на възможност за ефективно управление на смесената система за таксуване на различните категории пътни превозни средства на база време и на база изминато разстояние и спазване на изискванията за оперативна съвместимост със системите на доставчиците на услуга за електронно събиране на такса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>•</w:t>
      </w:r>
      <w:r w:rsidRPr="000D135F">
        <w:rPr>
          <w:rFonts w:ascii="Times New Roman" w:eastAsia="Times New Roman" w:hAnsi="Times New Roman" w:cs="Times New Roman"/>
          <w:lang w:eastAsia="bg-BG"/>
        </w:rPr>
        <w:tab/>
        <w:t>Осигуряване на добро експлоатационно състояние и ниво на безопасност на съществуващата пътна мрежа. Модернизация и обновяване.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>Усилията за подобряване на качеството на пътната инфраструктура в страната, както и за осигуряването на по-ефективни транспортни услуги и безопасна универсална мобилност, ще бъдат продължени от АПИ. Приоритет ще бъде навременното изграждане на Трансевропейската пътна мрежа, включително доизграждането и поддържането на изградените отсечки. От основно значение ще бъде доизграждането на магистрални пътища по най-важните направления на страната. Досега изградените магистрали се намират основно в южната част на страната, поради което завършването на магистрала „Хемус“ ще има изключително значение за развитието на икономиката на Северна България и целия транспортен сектор. Интервенции ще бъдат насочени и към подобряване на качеството на пътищата, включително общинските пътища. Ще продължат усилията за подобряване на свързаността с Румъния, чрез изграждането на нови мостови съоръжения над р. Дунав.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>Освен към подобряване на качеството на наличната транспортна инфраструктура, АПИ ще продължи работата по внедряване на интелигентни транспортни системи в сектора, както и по въвеждане на цифрово предаване на информация за товарни превози, което ще допринесе за намаляване на административната тежест и подобряване на логистичните операции.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SimSun" w:hAnsi="Times New Roman" w:cs="Times New Roman"/>
        </w:rPr>
      </w:pPr>
      <w:r w:rsidRPr="000D135F">
        <w:rPr>
          <w:rFonts w:ascii="Times New Roman" w:eastAsia="SimSun" w:hAnsi="Times New Roman" w:cs="Times New Roman"/>
        </w:rPr>
        <w:t>От основно значение ще бъде доизграждането на магистрални пътища по най-важните направления на страната. Досега изградените магистрали се намират основно в южната част на страната, поради което завършването на магистрала „Хемус“ ще има изключително значение за развитието на икономиката на Северна България и целия транспортен сектор. В тази връзка продължава изграждането и завършването в цялост по направлението „Видин-Ботевград“, което ще доведе до развитието на икономиката в северозападната част на страната.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SimSun" w:hAnsi="Times New Roman" w:cs="Times New Roman"/>
        </w:rPr>
        <w:t>Завършването на АМ „Струма</w:t>
      </w:r>
      <w:r w:rsidRPr="000D135F">
        <w:rPr>
          <w:rFonts w:ascii="Times New Roman" w:eastAsia="Times New Roman" w:hAnsi="Times New Roman" w:cs="Times New Roman"/>
          <w:lang w:eastAsia="bg-BG"/>
        </w:rPr>
        <w:t xml:space="preserve">“, като част от Ориент/Източно-средиземноморския коридор от основната TEN-T мрежа, предлага най-краткия маршрут за връзка между р. Дунав и Егейско море и има важна роля за връзката между България, Румъния и Гърция. 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 xml:space="preserve">Не на последно място ще се подобрят условията и предпоставките за повишаване на пътната безопасност и опазване на околната среда. Като част от пътните артерии, автомагистралните и скоростни трасета имат голяма значение за интегрирането на Националната транспортна инфраструктура в Европейската транспортна система. 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 xml:space="preserve">Продължаване на дейностите по доизграждане на АМ „Европа“, което ще доведе до   подобряване на връзката с Република Сърбия и западните части на Балканския полуостров. 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 xml:space="preserve">Проект от транспортната инфраструктура от взаимен интерес за Република България и Република Северна Македония е изграждането на модерно трасе по направлението Гюешево - Кюстендил - Дупница, с което ще се осигури комфортна връзка между Трансевропейски транспортен коридор „Ориент/Източно Средиземноморски“ (АМ „Струма“) и границата с Република Северна Македония при ГКПП Гюешево. Пътната отсечка ще обслужва транзитно преминаващия вътрешен и международен тежкотоварен трафик от България към Северна Македония, Албания и Адриатика и ще предостави достъп от Западна Европа към пристанищните градове Варна и Бургас. Скоростната отсечка по направлението „Гюешево – Кюстендил – Дупница“  е алтернативно трасе на път I-6 Граница Северна Македония - о.п. Кюстендил - Перник и път II-62 О.п. Кюстендил - о.п. Дупница - Самоков. В резултат на идейно проектиране, което предстои да бъде възложено, ще бъдат проучени вариантите за възможно трасе. След определянето на целесъобразно трасе от технико-икономическа и екологична гледна точка, ще бъде възложено и извършено същинското техническо проектиране. Реализацията на </w:t>
      </w:r>
      <w:r w:rsidRPr="000D135F">
        <w:rPr>
          <w:rFonts w:ascii="Times New Roman" w:eastAsia="Times New Roman" w:hAnsi="Times New Roman" w:cs="Times New Roman"/>
          <w:lang w:eastAsia="bg-BG"/>
        </w:rPr>
        <w:lastRenderedPageBreak/>
        <w:t>скоростната отсечка следва да се завърши до 2030 г., с оглед  задълженията на Република  България по европейските регламенти и директиви за транспортна свързаност.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 xml:space="preserve">По направление Пловдив - Смолян е предвидено изготвяне на прединвестиционно проучване за скоростно трасе и изработване на технически проект за изграждане на трета лента на път </w:t>
      </w:r>
      <w:r w:rsidRPr="000D135F">
        <w:rPr>
          <w:rFonts w:ascii="Times New Roman" w:eastAsia="Times New Roman" w:hAnsi="Times New Roman" w:cs="Times New Roman"/>
          <w:lang w:val="en-US" w:eastAsia="bg-BG"/>
        </w:rPr>
        <w:t>II-</w:t>
      </w:r>
      <w:r w:rsidRPr="000D135F">
        <w:rPr>
          <w:rFonts w:ascii="Times New Roman" w:eastAsia="Times New Roman" w:hAnsi="Times New Roman" w:cs="Times New Roman"/>
          <w:lang w:eastAsia="bg-BG"/>
        </w:rPr>
        <w:t xml:space="preserve">86 Асеновград – Смолян в три участъка. 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0D135F">
        <w:rPr>
          <w:rFonts w:ascii="Times New Roman" w:eastAsia="Times New Roman" w:hAnsi="Times New Roman" w:cs="Times New Roman"/>
          <w:b/>
          <w:lang w:eastAsia="bg-BG"/>
        </w:rPr>
        <w:t xml:space="preserve">Развитие при изграждането по вертикалните направления север-юг: 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>- Русе-Велико Търново – граница Република Гърция и Турция по направлението на основната Транс-европейска пътна мрежа;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>- АМ „Черно море“ - продължаване на дейностите по проектиране и осигуряване на необходимата проектна готовност за стартиране на строителство в участъка Варна-Бургас и паралелен анализ с нейното продължаване в посока транспортна свързаност север с Република Румъния и посока юг с Република Турция. Предвижда се изграждане на ново мостово съоръжение над Варненско – Белославското езеро (алтернатива на Аспарухов мост) и тунелно преминаване през Стара планина.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0D135F">
        <w:rPr>
          <w:rFonts w:ascii="Times New Roman" w:eastAsia="Times New Roman" w:hAnsi="Times New Roman" w:cs="Times New Roman"/>
          <w:lang w:eastAsia="bg-BG"/>
        </w:rPr>
        <w:t xml:space="preserve">- Подобряване на пресичането през Стара планина по маршрута Монтана – София чрез изграждане на тунел под прохода Петрохан. 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0D135F">
        <w:rPr>
          <w:rFonts w:ascii="Times New Roman" w:eastAsia="Times New Roman" w:hAnsi="Times New Roman" w:cs="Times New Roman"/>
          <w:b/>
          <w:lang w:eastAsia="bg-BG"/>
        </w:rPr>
        <w:t>Доизграждането на магистралните и скоростни трасета ще допринесе до затваряне на автомагистралния пръстен на Р България, респективно допълването и разширяването в хоризонтално и вертикално отношение ще доведе до подобряване на транспортната свързаност в страната и връзката със съседните държави.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SimSun" w:hAnsi="Times New Roman" w:cs="Times New Roman"/>
        </w:rPr>
      </w:pPr>
      <w:r w:rsidRPr="000D135F">
        <w:rPr>
          <w:rFonts w:ascii="Times New Roman" w:eastAsia="SimSun" w:hAnsi="Times New Roman" w:cs="Times New Roman"/>
        </w:rPr>
        <w:t>Ще продължат усилията за подобряване на свързаността с Румъния, чрез изграждането на нови мостови съоръжения над р. Дунав чрез сключване на Спогодба за подобряване транспортната свързаност между двете държави.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SimSun" w:hAnsi="Times New Roman" w:cs="Times New Roman"/>
        </w:rPr>
      </w:pPr>
      <w:r w:rsidRPr="000D135F">
        <w:rPr>
          <w:rFonts w:ascii="Times New Roman" w:eastAsia="SimSun" w:hAnsi="Times New Roman" w:cs="Times New Roman"/>
        </w:rPr>
        <w:t>Развитие при проектирането и изграждането на обходни/околовръстни пътища в</w:t>
      </w:r>
      <w:r w:rsidRPr="000D135F">
        <w:rPr>
          <w:rFonts w:ascii="Times New Roman" w:eastAsia="SimSun" w:hAnsi="Times New Roman" w:cs="Times New Roman"/>
          <w:b/>
        </w:rPr>
        <w:t xml:space="preserve"> </w:t>
      </w:r>
      <w:r w:rsidRPr="000D135F">
        <w:rPr>
          <w:rFonts w:ascii="Times New Roman" w:eastAsia="SimSun" w:hAnsi="Times New Roman" w:cs="Times New Roman"/>
        </w:rPr>
        <w:t xml:space="preserve">градовете  София, Пазарджик, Пловдив, Плевен, Чепеларе, Провадия, Бургас, Петрич, Плевен, Павликени. 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SimSun" w:hAnsi="Times New Roman" w:cs="Times New Roman"/>
        </w:rPr>
      </w:pPr>
      <w:r w:rsidRPr="000D135F">
        <w:rPr>
          <w:rFonts w:ascii="Times New Roman" w:eastAsia="Times New Roman" w:hAnsi="Times New Roman" w:cs="Times New Roman"/>
          <w:lang w:eastAsia="bg-BG"/>
        </w:rPr>
        <w:t>Подобряване на свързаността и достъпността до TEN-T мрежата за товари и пътници чрез мерки, финансирани от фондовете на ЕС, чрез дейности по строителство, реконструкция и основен ремонт на първокласни, второкласни и третокласни пътища (извън Трансевропейската транспортна мрежа), които обслужват вътрешно-регионални връзки и осигуряват възможности за развитие на специфичния икономически потенциал, чрез връзка и достъп до TEN-T мрежата. Също и п</w:t>
      </w:r>
      <w:r w:rsidRPr="000D135F">
        <w:rPr>
          <w:rFonts w:ascii="Times New Roman" w:eastAsia="SimSun" w:hAnsi="Times New Roman" w:cs="Times New Roman"/>
        </w:rPr>
        <w:t xml:space="preserve">одобряване на съществуващата пътна инфраструктура чрез осигуряване на дейности по основен ремонт и текущо поддържане на републиканската пътна мрежа. 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eastAsia="SimSun" w:hAnsi="Times New Roman" w:cs="Times New Roman"/>
        </w:rPr>
      </w:pPr>
      <w:r w:rsidRPr="000D135F">
        <w:rPr>
          <w:rFonts w:ascii="Times New Roman" w:eastAsia="SimSun" w:hAnsi="Times New Roman" w:cs="Times New Roman"/>
        </w:rPr>
        <w:t>Освен към подобряване на качеството на наличната транспортна инфраструктура, АПИ ще продължи работата по внедряване на интелигентни транспортни системи в сектора, както и по въвеждане на цифрово предаване на информация за товарни превози, което ще допринесе за намаляване на административната тежест и подобряване на логистичните операции.</w:t>
      </w:r>
    </w:p>
    <w:p w:rsidR="00D91502" w:rsidRPr="000D135F" w:rsidRDefault="00D91502" w:rsidP="00552DB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eastAsia="Times New Roman" w:hAnsi="Times New Roman" w:cs="Times New Roman"/>
          <w:lang w:eastAsia="bg-BG"/>
        </w:rPr>
        <w:t>Агенция „Пътна инфраструктура“ изпълнява дейности по подобряване ефективността на въведения модел за таксуване за ползване на републиканската пътна мрежа – чрез въвеждане на смесена система: електронна винетка за леки автомобили и ТОЛ такса за изминато разстояние за тежкотоварните автомобили. В средносрочната прогноза основните дейности за изпълнение на целта са проектиране, изграждане и въвеждане на електронна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над 3,5 т. (ТОЛ) и на база  време за леки автомобили с обща технически допустима максимална маса до 3,5 т. (електронна винетка). От 1 януари 2019 г. започна поетапното въвеждане на ТОЛ системата с въвеждането на т.нар. „електронна винетка“ за леките автомобили, а от 01.03.2020 г. се тарифират и товарните автомобили над 3.5 т. Развитието на политиката е свързано с дейностите по събиране на пътни такси, при прилагане на принципите „Ползвателят плаща“ и „Замърсителят плаща“. Ключова дейност в процеса е осъществяването на ефективен контрол върху ползвателите на платената пътна мрежа.</w:t>
      </w:r>
      <w:r w:rsidRPr="000D135F">
        <w:rPr>
          <w:rFonts w:ascii="Times New Roman" w:hAnsi="Times New Roman" w:cs="Times New Roman"/>
        </w:rPr>
        <w:t xml:space="preserve"> През 2022 г. е актуализиран размерът на тол таксите и е </w:t>
      </w:r>
      <w:r w:rsidRPr="000D135F">
        <w:rPr>
          <w:rFonts w:ascii="Times New Roman" w:hAnsi="Times New Roman" w:cs="Times New Roman"/>
        </w:rPr>
        <w:lastRenderedPageBreak/>
        <w:t>определен размер за тол такси за пътища II – ри клас. С проекта на постановление на Министерския съвет се цели актуализиране на размера на таксата за изминато разстояние - тол такса за пътни превозни средства по чл. 10б, ал. 3 от ЗП. По този начин ще бъде реализирана целта относно постигане на по-справедливо разпределение на разходите за изграждане на нова и поддръжка на съществуващата пътна инфраструктура в страната в съответствие с принципите „ползвателят/замърсителят плаща“.</w:t>
      </w:r>
    </w:p>
    <w:p w:rsidR="00BB2C05" w:rsidRPr="000D135F" w:rsidRDefault="00BB2C05" w:rsidP="00552DB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>Агенция „Пътна инфраструктура“ изпълнява</w:t>
      </w:r>
      <w:r w:rsidRPr="000D135F">
        <w:rPr>
          <w:rFonts w:ascii="Times New Roman" w:eastAsia="SimSun" w:hAnsi="Times New Roman" w:cs="Times New Roman"/>
        </w:rPr>
        <w:t xml:space="preserve"> описаната политика в Споразумение за съвместно управление на Република България в период 2021 г. – 2025 г.</w:t>
      </w:r>
      <w:r w:rsidRPr="000D135F">
        <w:rPr>
          <w:rFonts w:ascii="Times New Roman" w:hAnsi="Times New Roman" w:cs="Times New Roman"/>
        </w:rPr>
        <w:t xml:space="preserve"> чрез поставени цели и мерки, а именно:</w:t>
      </w:r>
    </w:p>
    <w:p w:rsidR="00BB2C05" w:rsidRPr="000D135F" w:rsidRDefault="00BB2C05" w:rsidP="00552DB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>Въвеждане на по-справедлив модел за таксуване за ползване на републиканската пътна мрежа – чрез въвеждане на смесена система: електронна винетка за леки автомобили и тол такса за изминато разстояние за тежкотоварните автомобили</w:t>
      </w:r>
    </w:p>
    <w:p w:rsidR="00BB2C05" w:rsidRPr="000D135F" w:rsidRDefault="00BB2C05" w:rsidP="00552DB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 xml:space="preserve">През 2020 г. </w:t>
      </w:r>
      <w:proofErr w:type="gramStart"/>
      <w:r w:rsidRPr="000D135F">
        <w:rPr>
          <w:rFonts w:ascii="Times New Roman" w:hAnsi="Times New Roman" w:cs="Times New Roman"/>
          <w:lang w:val="en-US"/>
        </w:rPr>
        <w:t>e</w:t>
      </w:r>
      <w:proofErr w:type="gramEnd"/>
      <w:r w:rsidRPr="000D135F">
        <w:rPr>
          <w:rFonts w:ascii="Times New Roman" w:hAnsi="Times New Roman" w:cs="Times New Roman"/>
        </w:rPr>
        <w:t xml:space="preserve"> </w:t>
      </w:r>
      <w:proofErr w:type="spellStart"/>
      <w:r w:rsidRPr="000D135F">
        <w:rPr>
          <w:rFonts w:ascii="Times New Roman" w:hAnsi="Times New Roman" w:cs="Times New Roman"/>
        </w:rPr>
        <w:t>внедр</w:t>
      </w:r>
      <w:proofErr w:type="spellEnd"/>
      <w:r w:rsidRPr="000D135F">
        <w:rPr>
          <w:rFonts w:ascii="Times New Roman" w:hAnsi="Times New Roman" w:cs="Times New Roman"/>
          <w:lang w:val="en-US"/>
        </w:rPr>
        <w:t>e</w:t>
      </w:r>
      <w:r w:rsidRPr="000D135F">
        <w:rPr>
          <w:rFonts w:ascii="Times New Roman" w:hAnsi="Times New Roman" w:cs="Times New Roman"/>
        </w:rPr>
        <w:t>на електронна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над 3,5 т. (ТОЛ) и на база време за леки автомобили с обща технически допустима максимална маса до 3,5 т. (електронна винетка).</w:t>
      </w:r>
    </w:p>
    <w:p w:rsidR="00BB2C05" w:rsidRPr="000D135F" w:rsidRDefault="00BB2C05" w:rsidP="00552DB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 xml:space="preserve">В прогнозата е отразено очакваното допълнително нарастване на приходите за трите години във връзка с предприети действия от АПИ през 2021 г. за актуализиране на „Тарифа за таксите, които се събират за преминаване и ползване на републиканската пътна мрежа“. С приемането на проекта на Постановление на Министерския съвет ще бъдат прецизирани текстовете на Тарифата, които уреждат заплащането на таксите по чл. 10, ал. 1 и ал. 2 от Закона за пътищата и ще бъдат актуализирани размерите на таксата на база изминато разстояние (тол такса). </w:t>
      </w:r>
    </w:p>
    <w:p w:rsidR="00BB2C05" w:rsidRPr="000D135F" w:rsidRDefault="00BB2C05" w:rsidP="00552DB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>Актуализирането на размера на таксата за всички пътни превозни средства с обща технически допустима максимална маса над 3,5 тона - такса за изминато разстояние (тол такса), ще окаже икономическо и социално въздействие върху групата заинтересовани страни, които са водачите на пътни превозни средства с обща технически допустима максимална маса над 3,5 тона. Също така ще бъде оказано общо – икономическо въздействие, върху сектор „Транспорт“ и върху различни участници от веригата на добавената стойност.  За МРРБ и АПИ е предвидено увеличаване на приходите от пътни такси. За гражданите и бизнеса увеличаването  на приходите от пътни такси ще доведе до разходване на повече средства за рехабилитация на пътищата и изграждането на нови, което ще увеличи възможността за по – бързо и по – безопасно придвижване по републиканската пътна мрежа.</w:t>
      </w:r>
    </w:p>
    <w:p w:rsidR="00BB2C05" w:rsidRPr="000D135F" w:rsidRDefault="00BB2C05" w:rsidP="00552DB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>С промяна на тарифата освен предвиденото увеличаване на събраните приходи, се постига изпълнението и на следните цели:</w:t>
      </w:r>
    </w:p>
    <w:p w:rsidR="00BB2C05" w:rsidRPr="000D135F" w:rsidRDefault="00BB2C05" w:rsidP="00552DB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>Цел 1 „Актуализиране на размера на тол таксите и определяне на размер за тол такси за пътища II – ри клас “ -  С проекта на постановление на Министерския съвет се цели актуализиране на размера на таксата за изминато разстояние - тол такса за пътни превозни средства по чл. 10б, ал. 3 от ЗП. По този начин ще бъде реализирана целта относно постигане на по-справедливо разпределение на разходите за изграждане на нова и поддръжка на съществуващата пътна инфраструктура в страната в съответствие с принципите „ползвателят/замърсителят плаща“.</w:t>
      </w:r>
    </w:p>
    <w:p w:rsidR="00BB2C05" w:rsidRPr="000D135F" w:rsidRDefault="00BB2C05" w:rsidP="00552DB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>При прилагане на предложения вариант, съобразен с разработените от Световна банка сценарии, ще се доближим максимално до таксите на съседните на Република България страни. На следващо място, ще се уеднакви подходът към ползвателите на платената пътна мрежа в страната – за движение по второкласната пътна мрежа, включена в обхвата на републиканската пътна мрежа, освен лекотоварните ППС, пътна такса ще заплащат и тежкотоварните ППС.</w:t>
      </w:r>
    </w:p>
    <w:p w:rsidR="00BB2C05" w:rsidRPr="000D135F" w:rsidRDefault="00BB2C05" w:rsidP="00552DB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>Цел 2 „Отпадане на категоризацията на пътните превозни средства по Тарифа за таксите, които се събират за преминаване и ползване на републиканската пътна мрежа “ - С проекта на постановление ще отпадане категоризацията на пътните превозни средства по Тарифа за таксите, които се събират за преминаване и ползване на републиканската пътна мрежа, което ще доведе до избягване на противоречия при прилагането ѝ.</w:t>
      </w:r>
    </w:p>
    <w:p w:rsidR="00BB2C05" w:rsidRPr="000D135F" w:rsidRDefault="00BB2C05" w:rsidP="00552DB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lastRenderedPageBreak/>
        <w:t>Цел 3 „Отпадане на облекчения режим на таксуване за пътни превозни средства над 3, 5 тона, използващи като единствен източник алтернативно гориво по реда на чл. 27, ал. 2 от Тарифа за таксите, които се събират за преминаване и ползване на републиканската пътна мрежа“ - С проекта на постановление се цели отпадане на облекчения режим на таксуване за пътни превозни средства над 3, 5 тона, използващи като единствен източник алтернативно гориво по</w:t>
      </w:r>
      <w:r w:rsidRPr="000D135F">
        <w:rPr>
          <w:lang w:val="en-US"/>
        </w:rPr>
        <w:t xml:space="preserve"> </w:t>
      </w:r>
      <w:r w:rsidRPr="000D135F">
        <w:rPr>
          <w:rFonts w:ascii="Times New Roman" w:hAnsi="Times New Roman" w:cs="Times New Roman"/>
        </w:rPr>
        <w:t>реда на чл. 27, ал. 2 от Тарифа за таксите, които се събират за преминаване и ползване на републиканската пътна мрежа. По този начин ще бъде спазен основният принцип на ЕС „ползвателят плаща“ и ще бъде увеличен основният приход от пътни такси, чието предназначение е за изграждане/рехабилитация на републиканската пътна мрежа.</w:t>
      </w:r>
    </w:p>
    <w:p w:rsidR="00BB2C05" w:rsidRPr="000D135F" w:rsidRDefault="00BB2C05" w:rsidP="00552DB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>Изграждането на модерна и безопасна пътна инфраструктура е основен приоритет за АПИ чрез д</w:t>
      </w:r>
      <w:r w:rsidRPr="000D135F">
        <w:rPr>
          <w:rFonts w:ascii="Times New Roman" w:eastAsia="Times New Roman" w:hAnsi="Times New Roman" w:cs="Times New Roman"/>
          <w:lang w:eastAsia="bg-BG"/>
        </w:rPr>
        <w:t xml:space="preserve">оизграждането на магистралните и скоростни трасета, което ще допринесе до затваряне на автомагистралния пръстен на Р България, респективно допълването и разширяването в хоризонтално и вертикално отношение ще доведе до подобряване на транспортната свързаност в страната и връзката със съседните държави. </w:t>
      </w:r>
      <w:r w:rsidRPr="000D135F">
        <w:rPr>
          <w:rFonts w:ascii="Times New Roman" w:hAnsi="Times New Roman" w:cs="Times New Roman"/>
        </w:rPr>
        <w:t>Тази цел ще бъде постигната чрез реализацията на стратегически инфраструктурни проекти, като:</w:t>
      </w:r>
    </w:p>
    <w:p w:rsidR="00BB2C05" w:rsidRPr="000D135F" w:rsidRDefault="00BB2C05" w:rsidP="00552DBD">
      <w:pPr>
        <w:pStyle w:val="ListParagraph"/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lang w:val="en-US"/>
        </w:rPr>
      </w:pPr>
      <w:r w:rsidRPr="000D135F">
        <w:rPr>
          <w:rFonts w:ascii="Times New Roman" w:hAnsi="Times New Roman" w:cs="Times New Roman"/>
        </w:rPr>
        <w:t>Модернизация на път I-8 „Калотина – Софийски околовръстен път“, участък от км 1+000 до км 15+500 и етапна връзка</w:t>
      </w:r>
      <w:r w:rsidRPr="000D135F">
        <w:rPr>
          <w:rFonts w:ascii="Times New Roman" w:hAnsi="Times New Roman" w:cs="Times New Roman"/>
          <w:lang w:val="en-US"/>
        </w:rPr>
        <w:t>;</w:t>
      </w:r>
    </w:p>
    <w:p w:rsidR="00BB2C05" w:rsidRPr="000D135F" w:rsidRDefault="00BB2C05" w:rsidP="00552DBD">
      <w:pPr>
        <w:pStyle w:val="ListParagraph"/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lang w:val="en-US"/>
        </w:rPr>
      </w:pPr>
      <w:r w:rsidRPr="000D135F">
        <w:rPr>
          <w:rFonts w:ascii="Times New Roman" w:hAnsi="Times New Roman" w:cs="Times New Roman"/>
        </w:rPr>
        <w:t>АМ „Европа“  от км 32+447,20 до км 48+903“</w:t>
      </w:r>
      <w:r w:rsidRPr="000D135F">
        <w:rPr>
          <w:rFonts w:ascii="Times New Roman" w:hAnsi="Times New Roman" w:cs="Times New Roman"/>
          <w:lang w:val="en-US"/>
        </w:rPr>
        <w:t>;</w:t>
      </w:r>
    </w:p>
    <w:p w:rsidR="00BB2C05" w:rsidRPr="000D135F" w:rsidRDefault="00BB2C05" w:rsidP="00552DBD">
      <w:pPr>
        <w:pStyle w:val="ListParagraph"/>
        <w:numPr>
          <w:ilvl w:val="0"/>
          <w:numId w:val="38"/>
        </w:numPr>
        <w:spacing w:after="0"/>
        <w:ind w:left="0" w:firstLine="567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>АМ "Струма" Лот 3.2</w:t>
      </w:r>
      <w:r w:rsidRPr="000D135F">
        <w:rPr>
          <w:rFonts w:ascii="Times New Roman" w:hAnsi="Times New Roman" w:cs="Times New Roman"/>
          <w:lang w:val="en-US"/>
        </w:rPr>
        <w:t>;</w:t>
      </w:r>
    </w:p>
    <w:p w:rsidR="00BB2C05" w:rsidRPr="000D135F" w:rsidRDefault="00BB2C05" w:rsidP="00552DBD">
      <w:pPr>
        <w:pStyle w:val="ListParagraph"/>
        <w:numPr>
          <w:ilvl w:val="0"/>
          <w:numId w:val="38"/>
        </w:numPr>
        <w:spacing w:after="0"/>
        <w:ind w:left="0" w:firstLine="567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>„Обход на гр. Габрово от км 20+124,50 до км 30+673,48, включително тунел под връх Шипка“</w:t>
      </w:r>
      <w:r w:rsidRPr="000D135F">
        <w:rPr>
          <w:rFonts w:ascii="Times New Roman" w:hAnsi="Times New Roman" w:cs="Times New Roman"/>
          <w:lang w:val="en-US"/>
        </w:rPr>
        <w:t>;</w:t>
      </w:r>
    </w:p>
    <w:p w:rsidR="00BB2C05" w:rsidRPr="000D135F" w:rsidRDefault="00BB2C05" w:rsidP="00552DBD">
      <w:pPr>
        <w:pStyle w:val="ListParagraph"/>
        <w:numPr>
          <w:ilvl w:val="0"/>
          <w:numId w:val="38"/>
        </w:numPr>
        <w:spacing w:after="0"/>
        <w:ind w:left="0" w:firstLine="567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>АМ „Русе – Велико Търново“</w:t>
      </w:r>
      <w:r w:rsidRPr="000D135F">
        <w:rPr>
          <w:rFonts w:ascii="Times New Roman" w:hAnsi="Times New Roman" w:cs="Times New Roman"/>
          <w:lang w:val="en-US"/>
        </w:rPr>
        <w:t>;</w:t>
      </w:r>
    </w:p>
    <w:p w:rsidR="00BB2C05" w:rsidRPr="000D135F" w:rsidRDefault="00BB2C05" w:rsidP="00552DBD">
      <w:pPr>
        <w:pStyle w:val="ListParagraph"/>
        <w:numPr>
          <w:ilvl w:val="0"/>
          <w:numId w:val="38"/>
        </w:numPr>
        <w:spacing w:after="0"/>
        <w:ind w:left="0" w:firstLine="567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>„Обходен път на гр. Бургас от км 230+700 на път I-9 Сарафово - Бургас до км 493+550 на път I-6 Ветрен-Бургас и локални платна“</w:t>
      </w:r>
      <w:r w:rsidRPr="000D135F">
        <w:rPr>
          <w:rFonts w:ascii="Times New Roman" w:hAnsi="Times New Roman" w:cs="Times New Roman"/>
          <w:lang w:val="en-US"/>
        </w:rPr>
        <w:t>;</w:t>
      </w:r>
    </w:p>
    <w:p w:rsidR="00BB2C05" w:rsidRPr="000D135F" w:rsidRDefault="00BB2C05" w:rsidP="00552DBD">
      <w:pPr>
        <w:pStyle w:val="ListParagraph"/>
        <w:numPr>
          <w:ilvl w:val="0"/>
          <w:numId w:val="38"/>
        </w:numPr>
        <w:spacing w:after="0"/>
        <w:ind w:left="0" w:firstLine="567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>Изготвяне на технически проект и строителство (инженеринг) на обект: АМ Хемус, участък от км 310+940 до км 327+260. Обща дължина 16,320 км</w:t>
      </w:r>
      <w:r w:rsidRPr="000D135F">
        <w:rPr>
          <w:rFonts w:ascii="Times New Roman" w:hAnsi="Times New Roman" w:cs="Times New Roman"/>
          <w:lang w:val="en-US"/>
        </w:rPr>
        <w:t>.</w:t>
      </w:r>
    </w:p>
    <w:p w:rsidR="00D91502" w:rsidRPr="000D135F" w:rsidRDefault="00CF77E0" w:rsidP="00552DBD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b/>
          <w:i/>
          <w:color w:val="000000"/>
        </w:rPr>
      </w:pPr>
      <w:r w:rsidRPr="000D135F">
        <w:rPr>
          <w:rFonts w:ascii="Times New Roman" w:hAnsi="Times New Roman" w:cs="Times New Roman"/>
          <w:b/>
          <w:i/>
          <w:color w:val="000000"/>
        </w:rPr>
        <w:t>По отношение на Дирекция за национален строителен контрол</w:t>
      </w:r>
    </w:p>
    <w:p w:rsidR="00567CD4" w:rsidRPr="000D135F" w:rsidRDefault="00567CD4" w:rsidP="00552DBD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0D135F">
        <w:rPr>
          <w:rFonts w:ascii="Times New Roman" w:hAnsi="Times New Roman" w:cs="Times New Roman"/>
          <w:color w:val="000000"/>
        </w:rPr>
        <w:t>ДНСК контролира всички строежи на територията на Република България, действията на общинската администрация и действията на участниците в строителния процес. Извън обхвата на контролната дейност на ДНСК са специалните строежи, свързани с отбраната и сигурността на страната, които се контролират съответно от министъра на отбраната и министъра на вътрешните работи. ДНСК упражнява контрол по спазването на Закона за устройство на територията (ЗУТ) и на нормативните актове по прилагането му при проектирането и строителството, в т.ч. влагането на качествени строителни материали и изделия с оглед осигуряване на сигурността, безопасността, достъпността и другите нормативни изисквания към строежите. Спирането и премахването на незаконни строежи и забрана ползването на строежи, които не са въведени в експлоатация по нормативно установения ред за строежи от първа, втора и трета категория се извършва от ДНСК.</w:t>
      </w:r>
    </w:p>
    <w:p w:rsidR="00567CD4" w:rsidRPr="000D135F" w:rsidRDefault="00567CD4" w:rsidP="00552DBD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0D135F">
        <w:rPr>
          <w:rFonts w:ascii="Times New Roman" w:hAnsi="Times New Roman" w:cs="Times New Roman"/>
          <w:color w:val="000000"/>
        </w:rPr>
        <w:t xml:space="preserve">Целта на политиката по регулиране и контрол върху проектирането и строителството е да се осигури изпълнение на строежи, гарантиращи безопасни и здравословни условия в икономически обоснован експлоатационен срок. </w:t>
      </w:r>
    </w:p>
    <w:p w:rsidR="0023039C" w:rsidRPr="000D135F" w:rsidRDefault="0023039C" w:rsidP="00552DBD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b/>
          <w:i/>
          <w:color w:val="000000"/>
        </w:rPr>
      </w:pPr>
      <w:r w:rsidRPr="000D135F">
        <w:rPr>
          <w:rFonts w:ascii="Times New Roman" w:hAnsi="Times New Roman" w:cs="Times New Roman"/>
          <w:b/>
          <w:i/>
          <w:color w:val="000000"/>
        </w:rPr>
        <w:t>По отношение на Агенция по геодезия, картография и кадастър</w:t>
      </w:r>
    </w:p>
    <w:p w:rsidR="0023039C" w:rsidRPr="000D135F" w:rsidRDefault="0023039C" w:rsidP="00552DBD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0D135F">
        <w:rPr>
          <w:rFonts w:ascii="Times New Roman" w:hAnsi="Times New Roman" w:cs="Times New Roman"/>
          <w:color w:val="000000"/>
        </w:rPr>
        <w:t xml:space="preserve">Агенцията по геодезия, картография и кадастър (АГКК) изпълнява дейности в съответствие със Закона за кадастъра и имотния регистър (ЗКИР), както и </w:t>
      </w:r>
      <w:proofErr w:type="spellStart"/>
      <w:r w:rsidRPr="000D135F">
        <w:rPr>
          <w:rFonts w:ascii="Times New Roman" w:hAnsi="Times New Roman" w:cs="Times New Roman"/>
          <w:color w:val="000000"/>
        </w:rPr>
        <w:t>геодезическите</w:t>
      </w:r>
      <w:proofErr w:type="spellEnd"/>
      <w:r w:rsidRPr="000D135F">
        <w:rPr>
          <w:rFonts w:ascii="Times New Roman" w:hAnsi="Times New Roman" w:cs="Times New Roman"/>
          <w:color w:val="000000"/>
        </w:rPr>
        <w:t xml:space="preserve"> и картографски задачи, произтичащи от Закона за геодезията и картографията (ЗГК) и създаване и поддържане на специализирани карти и регистри съгласно Закона за устройството на Черноморското крайбрежие (ЗУЧК).  </w:t>
      </w:r>
    </w:p>
    <w:p w:rsidR="0023039C" w:rsidRPr="000D135F" w:rsidRDefault="0023039C" w:rsidP="00552DBD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0D135F">
        <w:rPr>
          <w:rFonts w:ascii="Times New Roman" w:hAnsi="Times New Roman" w:cs="Times New Roman"/>
          <w:color w:val="000000"/>
        </w:rPr>
        <w:t xml:space="preserve">АГКК е държавен орган, който създава, поддържа и предоставя </w:t>
      </w:r>
      <w:proofErr w:type="spellStart"/>
      <w:r w:rsidRPr="000D135F">
        <w:rPr>
          <w:rFonts w:ascii="Times New Roman" w:hAnsi="Times New Roman" w:cs="Times New Roman"/>
          <w:color w:val="000000"/>
        </w:rPr>
        <w:t>геодезическата</w:t>
      </w:r>
      <w:proofErr w:type="spellEnd"/>
      <w:r w:rsidRPr="000D135F">
        <w:rPr>
          <w:rFonts w:ascii="Times New Roman" w:hAnsi="Times New Roman" w:cs="Times New Roman"/>
          <w:color w:val="000000"/>
        </w:rPr>
        <w:t xml:space="preserve">, картографска и кадастрална информация в Република България, както и осигурява достъп до пространствените данни </w:t>
      </w:r>
      <w:r w:rsidRPr="000D135F">
        <w:rPr>
          <w:rFonts w:ascii="Times New Roman" w:hAnsi="Times New Roman" w:cs="Times New Roman"/>
          <w:color w:val="000000"/>
        </w:rPr>
        <w:lastRenderedPageBreak/>
        <w:t xml:space="preserve">и предоставянето на услуги, свързани с тях. Кадастралната и </w:t>
      </w:r>
      <w:proofErr w:type="spellStart"/>
      <w:r w:rsidRPr="000D135F">
        <w:rPr>
          <w:rFonts w:ascii="Times New Roman" w:hAnsi="Times New Roman" w:cs="Times New Roman"/>
          <w:color w:val="000000"/>
        </w:rPr>
        <w:t>геодезическа</w:t>
      </w:r>
      <w:proofErr w:type="spellEnd"/>
      <w:r w:rsidRPr="000D135F">
        <w:rPr>
          <w:rFonts w:ascii="Times New Roman" w:hAnsi="Times New Roman" w:cs="Times New Roman"/>
          <w:color w:val="000000"/>
        </w:rPr>
        <w:t xml:space="preserve"> информация се ползва и предоставя основно за сделки с недвижими имоти, при ипотеките, за нуждите на планирането, инвестиционното проектиране, изграждането на инфраструктурни обекти, решаването на проблеми при бедствия, опазване на околната среда и други. След създаване на кадастъра за цялата територия на страната АГКК ще бъде единствения орган, който осигурява на гражданите от едно място кадастрална информация за недвижимите имоти, както в населените места, така и в земеделските земи, горите и другите видове територии.</w:t>
      </w:r>
    </w:p>
    <w:p w:rsidR="0023039C" w:rsidRPr="000D135F" w:rsidRDefault="0023039C" w:rsidP="00552DBD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0D135F">
        <w:rPr>
          <w:rFonts w:ascii="Times New Roman" w:hAnsi="Times New Roman" w:cs="Times New Roman"/>
          <w:color w:val="000000"/>
        </w:rPr>
        <w:t>С Постановление № 254 от 10 октомври 2019 г. за допълнение на Постановление № 181 на Министерския съвет от 2009 г. за определяне на стратегическите обекти и дейности, които са от значение за националната сигурност АГКК е обявена за стратегически обект.</w:t>
      </w:r>
    </w:p>
    <w:p w:rsidR="0023039C" w:rsidRPr="000D135F" w:rsidRDefault="0023039C" w:rsidP="00552DBD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0D135F">
        <w:rPr>
          <w:rFonts w:ascii="Times New Roman" w:hAnsi="Times New Roman" w:cs="Times New Roman"/>
          <w:color w:val="000000"/>
        </w:rPr>
        <w:t xml:space="preserve">АГКК е единственият държавен орган с отговорност по: създаване, поддържане и издаване на държавните топографски карти в мащаби 1:5000 и 1:10 000 за територията на страната и българската база в Антарктика; създаване и поддържане на регистър на географските имена в Република България; създаване и поддържане на Държавната </w:t>
      </w:r>
      <w:proofErr w:type="spellStart"/>
      <w:r w:rsidRPr="000D135F">
        <w:rPr>
          <w:rFonts w:ascii="Times New Roman" w:hAnsi="Times New Roman" w:cs="Times New Roman"/>
          <w:color w:val="000000"/>
        </w:rPr>
        <w:t>нивелачна</w:t>
      </w:r>
      <w:proofErr w:type="spellEnd"/>
      <w:r w:rsidRPr="000D135F">
        <w:rPr>
          <w:rFonts w:ascii="Times New Roman" w:hAnsi="Times New Roman" w:cs="Times New Roman"/>
          <w:color w:val="000000"/>
        </w:rPr>
        <w:t xml:space="preserve"> мрежа I и II клас, която установява единна система от височини за цялата територия на страната и служи за основа на всички височинни измервания, както и решаване на научно-приложни и научноизследователски задачи при определяне фигурата на Земята, вертикалните движения на земната кора, разликите в нивата на моретата и океаните, сеизмично райониране и др.; създаване и поддържане на Държавната </w:t>
      </w:r>
      <w:proofErr w:type="spellStart"/>
      <w:r w:rsidRPr="000D135F">
        <w:rPr>
          <w:rFonts w:ascii="Times New Roman" w:hAnsi="Times New Roman" w:cs="Times New Roman"/>
          <w:color w:val="000000"/>
        </w:rPr>
        <w:t>гравиметрична</w:t>
      </w:r>
      <w:proofErr w:type="spellEnd"/>
      <w:r w:rsidRPr="000D135F">
        <w:rPr>
          <w:rFonts w:ascii="Times New Roman" w:hAnsi="Times New Roman" w:cs="Times New Roman"/>
          <w:color w:val="000000"/>
        </w:rPr>
        <w:t xml:space="preserve"> мрежа, която е изходна основа за всички </w:t>
      </w:r>
      <w:proofErr w:type="spellStart"/>
      <w:r w:rsidRPr="000D135F">
        <w:rPr>
          <w:rFonts w:ascii="Times New Roman" w:hAnsi="Times New Roman" w:cs="Times New Roman"/>
          <w:color w:val="000000"/>
        </w:rPr>
        <w:t>гравиметрични</w:t>
      </w:r>
      <w:proofErr w:type="spellEnd"/>
      <w:r w:rsidRPr="000D135F">
        <w:rPr>
          <w:rFonts w:ascii="Times New Roman" w:hAnsi="Times New Roman" w:cs="Times New Roman"/>
          <w:color w:val="000000"/>
        </w:rPr>
        <w:t xml:space="preserve"> измервания и снимки за геодезически, геофизични, научни и научноизследователски цели; създаване и поддържка на регистъра на географските имена.</w:t>
      </w:r>
    </w:p>
    <w:p w:rsidR="0023039C" w:rsidRPr="000D135F" w:rsidRDefault="0023039C" w:rsidP="00552DBD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0D135F">
        <w:rPr>
          <w:rFonts w:ascii="Times New Roman" w:hAnsi="Times New Roman" w:cs="Times New Roman"/>
          <w:color w:val="000000"/>
        </w:rPr>
        <w:t>АГКК организира и поддържа Държавния геодезически, картографски и кадастрален фонд (Геокартфонд), който е част от Националния архивен фонд.</w:t>
      </w:r>
    </w:p>
    <w:p w:rsidR="0023039C" w:rsidRPr="000D135F" w:rsidRDefault="0023039C" w:rsidP="00552DBD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0D135F">
        <w:rPr>
          <w:rFonts w:ascii="Times New Roman" w:hAnsi="Times New Roman" w:cs="Times New Roman"/>
          <w:color w:val="000000"/>
        </w:rPr>
        <w:t xml:space="preserve">АГКК отговаря, съвместно с МО и МВР, за определянето и осъвременяването на Българската </w:t>
      </w:r>
      <w:proofErr w:type="spellStart"/>
      <w:r w:rsidRPr="000D135F">
        <w:rPr>
          <w:rFonts w:ascii="Times New Roman" w:hAnsi="Times New Roman" w:cs="Times New Roman"/>
          <w:color w:val="000000"/>
        </w:rPr>
        <w:t>геодезическа</w:t>
      </w:r>
      <w:proofErr w:type="spellEnd"/>
      <w:r w:rsidRPr="000D135F">
        <w:rPr>
          <w:rFonts w:ascii="Times New Roman" w:hAnsi="Times New Roman" w:cs="Times New Roman"/>
          <w:color w:val="000000"/>
        </w:rPr>
        <w:t xml:space="preserve"> система.</w:t>
      </w:r>
    </w:p>
    <w:p w:rsidR="0023039C" w:rsidRPr="000D135F" w:rsidRDefault="0023039C" w:rsidP="00552DBD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0D135F">
        <w:rPr>
          <w:rFonts w:ascii="Times New Roman" w:hAnsi="Times New Roman" w:cs="Times New Roman"/>
          <w:color w:val="000000"/>
        </w:rPr>
        <w:t>С изпълнение на горепосочените дейности АГКК осигурява и поддържа в национален мащаб актуални и качествени пространствени данни, съответстващи на световните и европейски стандарти, за обезпечаване нуждите на всички потребители, подобряване на инвестиционния процес и създаване на основа за устойчиво интегрирано регионално развитие.</w:t>
      </w:r>
    </w:p>
    <w:p w:rsidR="00935D3B" w:rsidRPr="000D135F" w:rsidRDefault="00935D3B" w:rsidP="00552DBD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0D135F">
        <w:rPr>
          <w:rFonts w:ascii="Times New Roman" w:hAnsi="Times New Roman" w:cs="Times New Roman"/>
          <w:b/>
          <w:i/>
        </w:rPr>
        <w:t>Д</w:t>
      </w:r>
      <w:r w:rsidR="00567CD4" w:rsidRPr="000D135F">
        <w:rPr>
          <w:rFonts w:ascii="Times New Roman" w:hAnsi="Times New Roman" w:cs="Times New Roman"/>
          <w:b/>
          <w:i/>
        </w:rPr>
        <w:t>ирекция „Технически правила и норми“</w:t>
      </w:r>
      <w:r w:rsidR="00567CD4" w:rsidRPr="000D135F">
        <w:rPr>
          <w:rFonts w:ascii="Times New Roman" w:hAnsi="Times New Roman" w:cs="Times New Roman"/>
        </w:rPr>
        <w:t xml:space="preserve"> </w:t>
      </w:r>
      <w:r w:rsidR="00567CD4" w:rsidRPr="000D135F">
        <w:rPr>
          <w:rFonts w:ascii="Times New Roman" w:hAnsi="Times New Roman" w:cs="Times New Roman"/>
          <w:color w:val="000000"/>
        </w:rPr>
        <w:t xml:space="preserve">(ТПН) </w:t>
      </w:r>
      <w:r w:rsidRPr="000D135F">
        <w:rPr>
          <w:rFonts w:ascii="Times New Roman" w:hAnsi="Times New Roman" w:cs="Times New Roman"/>
          <w:color w:val="000000"/>
        </w:rPr>
        <w:t>отговаря за хармонизацията на техническата нормативна уредба за проектиране, изпълнение и експлоатация на строежите с правото на ЕС, осигуряването на свободното движение на строителните продукти и влагането им в строежите при осигуряване изпълнението на основните изисквания към строежите.</w:t>
      </w:r>
    </w:p>
    <w:p w:rsidR="00935D3B" w:rsidRPr="000D135F" w:rsidRDefault="00935D3B" w:rsidP="00552DBD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0D135F">
        <w:rPr>
          <w:rFonts w:ascii="Times New Roman" w:hAnsi="Times New Roman" w:cs="Times New Roman"/>
          <w:color w:val="000000"/>
        </w:rPr>
        <w:t>Дирекцията работи за осъществяването на държавна политика по разработването на технически нормативни актове в областта на обследването, проектирането, изпълнението, поддържането и разрушаването на строежите и хармонизиране на актовете с правото на Европейския съюз за създаване на условия за безопасни, енергоефективни и достъпни строежи с устойчиво използване на природните ресурси, както и за подобряване на околната среда в градовете и качеството на живот на гражданите. Дирекцията осъществява дейност в управлението на националната система за оценяване на строителните продукти и изпълнява функциите на звено за контакт относно продукти в строителството като подпомага:</w:t>
      </w:r>
    </w:p>
    <w:p w:rsidR="00935D3B" w:rsidRPr="000D135F" w:rsidRDefault="00935D3B" w:rsidP="00552DBD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0D135F">
        <w:rPr>
          <w:rFonts w:ascii="Times New Roman" w:hAnsi="Times New Roman" w:cs="Times New Roman"/>
          <w:color w:val="000000"/>
        </w:rPr>
        <w:t>- подобряването на инвестиционния климат и привличането на чуждестранни инвеститори, осигуряване на свободно движение на строителните продукти на единния европейски пазар, развитието на реален пазар на недвижими имоти, което практически е много тясно свързано с провеждане на политиката по регулиране на отрасъл строителство,  с изграждането на устойчива жизнена среда в т.ч. на основните мрежи на транспортната, енергийната, водностопанската и съобщителната инфраструктура и обвързването им с тези на съседните страни и общоевропейската инфраструктурна система;</w:t>
      </w:r>
    </w:p>
    <w:p w:rsidR="00935D3B" w:rsidRPr="000D135F" w:rsidRDefault="00935D3B" w:rsidP="00552DBD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0D135F">
        <w:rPr>
          <w:rFonts w:ascii="Times New Roman" w:hAnsi="Times New Roman" w:cs="Times New Roman"/>
          <w:color w:val="000000"/>
        </w:rPr>
        <w:lastRenderedPageBreak/>
        <w:t>- подкрепата за фирмите, създаващи иновативни продукти чрез създаване на условия за конкурентоспособност и развитие на българския бизнес и насърчаване на инвестициите в модерни и иновативни производства, които създават нови работни места.</w:t>
      </w:r>
    </w:p>
    <w:p w:rsidR="00935D3B" w:rsidRPr="000D135F" w:rsidRDefault="00935D3B" w:rsidP="00552DBD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0D135F">
        <w:rPr>
          <w:rFonts w:ascii="Times New Roman" w:hAnsi="Times New Roman" w:cs="Times New Roman"/>
          <w:color w:val="000000"/>
        </w:rPr>
        <w:t>Дейността на дирекция ТПН е свързана с изпълнение на следните цели, заложени в програмния формат на бюджета на МРРБ за разглеждания бюджетен период:</w:t>
      </w:r>
    </w:p>
    <w:p w:rsidR="00935D3B" w:rsidRPr="000D135F" w:rsidRDefault="00935D3B" w:rsidP="00552DBD">
      <w:pPr>
        <w:pStyle w:val="ListParagraph"/>
        <w:numPr>
          <w:ilvl w:val="0"/>
          <w:numId w:val="4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0D135F">
        <w:rPr>
          <w:rFonts w:ascii="Times New Roman" w:hAnsi="Times New Roman" w:cs="Times New Roman"/>
          <w:color w:val="000000"/>
        </w:rPr>
        <w:t>Разработване и управление на техническата нормативна уредба за проектиране, изпълнение и поддържане на строежите, хармонизирана с европейското техническо законодателство, в т.ч. с европейските регламенти, директиви и стандарти, свързани с удовлетворяването на основните изисквания към строежите по чл. 169, ал. 1 от Закона за устройство на територията: носимоспособност, пожарна безопасност, хигиена, здраве и околната среда, достъпност и безопасна експлоатация, защита от шум, икономия на енергия и топлосъхранение, енергийна ефективност, устойчиво използване на природните ресурси, в рамките на икономически обоснован експлоатационен срок;</w:t>
      </w:r>
    </w:p>
    <w:p w:rsidR="00935D3B" w:rsidRPr="000D135F" w:rsidRDefault="00935D3B" w:rsidP="00552DBD">
      <w:pPr>
        <w:pStyle w:val="ListParagraph"/>
        <w:numPr>
          <w:ilvl w:val="0"/>
          <w:numId w:val="4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0D135F">
        <w:rPr>
          <w:rFonts w:ascii="Times New Roman" w:hAnsi="Times New Roman" w:cs="Times New Roman"/>
          <w:color w:val="000000"/>
        </w:rPr>
        <w:t>Гарантиране на устойчиво строителство на територията на Република България чрез създаване на нормативни условия за проектиране, изпълнение и поддържане на безопасни, енергоефективни и достъпни строежи (сгради и строителни съоръжения) и въвеждане и прилагане на европейските регламенти, директиви и стандарти в областта на строителството;</w:t>
      </w:r>
    </w:p>
    <w:p w:rsidR="00935D3B" w:rsidRPr="000D135F" w:rsidRDefault="00935D3B" w:rsidP="00552DBD">
      <w:pPr>
        <w:pStyle w:val="ListParagraph"/>
        <w:numPr>
          <w:ilvl w:val="0"/>
          <w:numId w:val="4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0D135F">
        <w:rPr>
          <w:rFonts w:ascii="Times New Roman" w:hAnsi="Times New Roman" w:cs="Times New Roman"/>
          <w:color w:val="000000"/>
        </w:rPr>
        <w:t>Нормативна и приложна дейност в областта на пътната инфраструктура;</w:t>
      </w:r>
    </w:p>
    <w:p w:rsidR="00935D3B" w:rsidRPr="000D135F" w:rsidRDefault="00935D3B" w:rsidP="00552DBD">
      <w:pPr>
        <w:pStyle w:val="ListParagraph"/>
        <w:numPr>
          <w:ilvl w:val="0"/>
          <w:numId w:val="4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0D135F">
        <w:rPr>
          <w:rFonts w:ascii="Times New Roman" w:hAnsi="Times New Roman" w:cs="Times New Roman"/>
          <w:color w:val="000000"/>
        </w:rPr>
        <w:t>Създаване на условия за свободно движение на строителните продукти на пазара за влагането им в строежите при осигуряване изпълнението на основните изисквания към строежите;</w:t>
      </w:r>
    </w:p>
    <w:p w:rsidR="00935D3B" w:rsidRPr="000D135F" w:rsidRDefault="00935D3B" w:rsidP="00552DBD">
      <w:pPr>
        <w:pStyle w:val="ListParagraph"/>
        <w:numPr>
          <w:ilvl w:val="0"/>
          <w:numId w:val="4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0D135F">
        <w:rPr>
          <w:rFonts w:ascii="Times New Roman" w:hAnsi="Times New Roman" w:cs="Times New Roman"/>
          <w:color w:val="000000"/>
        </w:rPr>
        <w:t xml:space="preserve">Осигуряване и управление на система за оправомощаване и ефективен контрол върху дейността на лицата, извършващи оценяване на строителните продукти; </w:t>
      </w:r>
    </w:p>
    <w:p w:rsidR="00935D3B" w:rsidRPr="000D135F" w:rsidRDefault="00935D3B" w:rsidP="00552DBD">
      <w:pPr>
        <w:pStyle w:val="ListParagraph"/>
        <w:numPr>
          <w:ilvl w:val="0"/>
          <w:numId w:val="4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0D135F">
        <w:rPr>
          <w:rFonts w:ascii="Times New Roman" w:hAnsi="Times New Roman" w:cs="Times New Roman"/>
          <w:color w:val="000000"/>
        </w:rPr>
        <w:t>Защита на националните интереси и отразяването на специфични национални условия при създаването на европейските законодателни актове, свързани със строителните продукти и създаване на национални изисквания за тяхното влагане в строежите на Република България;</w:t>
      </w:r>
    </w:p>
    <w:p w:rsidR="00935D3B" w:rsidRPr="000D135F" w:rsidRDefault="00935D3B" w:rsidP="00552DBD">
      <w:pPr>
        <w:pStyle w:val="ListParagraph"/>
        <w:numPr>
          <w:ilvl w:val="0"/>
          <w:numId w:val="4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0D135F">
        <w:rPr>
          <w:rFonts w:ascii="Times New Roman" w:hAnsi="Times New Roman" w:cs="Times New Roman"/>
          <w:color w:val="000000"/>
        </w:rPr>
        <w:t>Осигуряване на актуална информация за националните изисквания към строителните продукти в зависимост от предвидената им употреба;</w:t>
      </w:r>
    </w:p>
    <w:p w:rsidR="00564E74" w:rsidRPr="000D135F" w:rsidRDefault="00935D3B" w:rsidP="00552DBD">
      <w:pPr>
        <w:pStyle w:val="ListParagraph"/>
        <w:numPr>
          <w:ilvl w:val="0"/>
          <w:numId w:val="4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0D135F">
        <w:rPr>
          <w:rFonts w:ascii="Times New Roman" w:hAnsi="Times New Roman" w:cs="Times New Roman"/>
          <w:color w:val="000000"/>
        </w:rPr>
        <w:t>Създаване на условия за влагане в строежите на строителни продукти, осигуряващи изпълнението на основните изисквания към строежите, чрез управление на националната система за оценяване на строителните продукти и определяне на национални изисквания за тяхната употреба;</w:t>
      </w:r>
    </w:p>
    <w:p w:rsidR="00C460C8" w:rsidRPr="000D135F" w:rsidRDefault="00975C23" w:rsidP="00552DBD">
      <w:pPr>
        <w:pStyle w:val="ListParagraph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b/>
          <w:i/>
        </w:rPr>
      </w:pPr>
      <w:r w:rsidRPr="000D135F">
        <w:rPr>
          <w:rFonts w:ascii="Times New Roman" w:hAnsi="Times New Roman" w:cs="Times New Roman"/>
          <w:b/>
          <w:i/>
        </w:rPr>
        <w:t>По отношение на дирекция „Геозащита и благоустройствени дейности“</w:t>
      </w:r>
    </w:p>
    <w:p w:rsidR="00975C23" w:rsidRPr="000D135F" w:rsidRDefault="00975C23" w:rsidP="00552DBD">
      <w:pPr>
        <w:pStyle w:val="ListParagraph"/>
        <w:spacing w:before="120" w:after="120"/>
        <w:ind w:left="0" w:firstLine="567"/>
        <w:jc w:val="both"/>
        <w:rPr>
          <w:rFonts w:ascii="Times New Roman" w:eastAsia="Times New Roman" w:hAnsi="Times New Roman" w:cs="Times New Roman"/>
          <w:noProof/>
          <w:lang w:eastAsia="bg-BG"/>
        </w:rPr>
      </w:pPr>
      <w:r w:rsidRPr="000D135F">
        <w:rPr>
          <w:rFonts w:ascii="Times New Roman" w:eastAsia="Times New Roman" w:hAnsi="Times New Roman" w:cs="Times New Roman"/>
          <w:noProof/>
          <w:lang w:eastAsia="bg-BG"/>
        </w:rPr>
        <w:t>Политиката в областта на околната среда, обвързана с изпълнението на геозащитните мерки и дейности за ограничаване на свлачищата, ерозионните процеси по Дунавското крайбрежие и абразионните процеси по Черноморското крайбрежие и за предотвратяване на аварии и щети, както и дейностите по регистрирането и мониторинга на свлачищните райони в Република България се изпълнява от Министерството на регионалното развитие и благоустройството. Свлачищата, ерозията по Дунавското крайбрежие и абразията по Черноморското крайбрежие са част от общите геодинамични процеси, които представляват основни елементи на геоложката опасност на страната.</w:t>
      </w:r>
      <w:r w:rsidRPr="000D135F">
        <w:t xml:space="preserve"> </w:t>
      </w:r>
      <w:r w:rsidRPr="000D135F">
        <w:rPr>
          <w:rFonts w:ascii="Times New Roman" w:eastAsia="Times New Roman" w:hAnsi="Times New Roman" w:cs="Times New Roman"/>
          <w:noProof/>
          <w:lang w:eastAsia="bg-BG"/>
        </w:rPr>
        <w:t>Подкрепа на общинските администрации за подобряване състоянието на общинските пътища и транспортната достъпност до и в населените мeста, чрез приоритизирани обекти, по определени критерии и които са със социална значимост, подобряват достъпа до и в населените места и социалните услуги на територията на общините, както и подобряват техническите характеристики, сигурността и безопасността на общинските пътища и улична мрежа. Нормативно възложеното актуализиране на списъка на общинските пътища и поддържане/допълване на базата данни за състоянието на утвърдените общински и съоръженията към тях.</w:t>
      </w:r>
    </w:p>
    <w:p w:rsidR="00975C23" w:rsidRPr="000D135F" w:rsidRDefault="00972232" w:rsidP="00552DBD">
      <w:pPr>
        <w:pStyle w:val="ListParagraph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b/>
          <w:i/>
        </w:rPr>
      </w:pPr>
      <w:r w:rsidRPr="000D135F">
        <w:rPr>
          <w:rFonts w:ascii="Times New Roman" w:hAnsi="Times New Roman" w:cs="Times New Roman"/>
          <w:b/>
          <w:i/>
        </w:rPr>
        <w:t>По отношение на дирекция „Водоснабдяване и канализация“</w:t>
      </w:r>
    </w:p>
    <w:p w:rsidR="00972232" w:rsidRPr="000D135F" w:rsidRDefault="00972232" w:rsidP="00552DB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D135F">
        <w:rPr>
          <w:rFonts w:ascii="Times New Roman" w:hAnsi="Times New Roman" w:cs="Times New Roman"/>
        </w:rPr>
        <w:t xml:space="preserve">Политиката е тясно обвързана с мерките определени в Програмата за управление, както и с приоритетите на министерството, съгласно стратегическите документи в областта на регионалното развитие и пътната инфраструктура. </w:t>
      </w:r>
      <w:r w:rsidRPr="000D135F">
        <w:rPr>
          <w:rFonts w:ascii="Times New Roman" w:eastAsia="Times New Roman" w:hAnsi="Times New Roman" w:cs="Times New Roman"/>
          <w:lang w:eastAsia="bg-BG"/>
        </w:rPr>
        <w:t xml:space="preserve">Визията за развитие на политиката е свързана с дейности за </w:t>
      </w:r>
      <w:r w:rsidRPr="000D135F">
        <w:rPr>
          <w:rFonts w:ascii="Times New Roman" w:eastAsia="Times New Roman" w:hAnsi="Times New Roman" w:cs="Times New Roman"/>
          <w:lang w:eastAsia="bg-BG"/>
        </w:rPr>
        <w:lastRenderedPageBreak/>
        <w:t>управление, поддържане и изграждане на „ВиК“ инфраструктурата, с цел осигуряване на съответствие с директивите на Европейския съюз в областта на водите и устойчивост при предоставяне на „ВиК“ услугите.</w:t>
      </w:r>
    </w:p>
    <w:p w:rsidR="00972232" w:rsidRPr="000D135F" w:rsidRDefault="008A1754" w:rsidP="00552DBD">
      <w:pPr>
        <w:pStyle w:val="ListParagraph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i/>
        </w:rPr>
      </w:pPr>
      <w:r w:rsidRPr="000D135F">
        <w:rPr>
          <w:rFonts w:ascii="Times New Roman" w:hAnsi="Times New Roman" w:cs="Times New Roman"/>
          <w:b/>
          <w:i/>
        </w:rPr>
        <w:t xml:space="preserve">По отношение на дирекция „Устройство на територията и административно-териториално устройство“ </w:t>
      </w:r>
      <w:r w:rsidRPr="000D135F">
        <w:rPr>
          <w:rFonts w:ascii="Times New Roman" w:hAnsi="Times New Roman" w:cs="Times New Roman"/>
          <w:b/>
          <w:i/>
          <w:lang w:val="en-US"/>
        </w:rPr>
        <w:t>(</w:t>
      </w:r>
      <w:r w:rsidRPr="000D135F">
        <w:rPr>
          <w:rFonts w:ascii="Times New Roman" w:hAnsi="Times New Roman" w:cs="Times New Roman"/>
          <w:b/>
          <w:i/>
        </w:rPr>
        <w:t>УТАТУ</w:t>
      </w:r>
      <w:r w:rsidRPr="000D135F">
        <w:rPr>
          <w:rFonts w:ascii="Times New Roman" w:hAnsi="Times New Roman" w:cs="Times New Roman"/>
          <w:b/>
          <w:i/>
          <w:lang w:val="en-US"/>
        </w:rPr>
        <w:t>)</w:t>
      </w:r>
    </w:p>
    <w:p w:rsidR="008A1754" w:rsidRPr="000D135F" w:rsidRDefault="008A1754" w:rsidP="00552DB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0D135F">
        <w:rPr>
          <w:rFonts w:ascii="Times New Roman" w:hAnsi="Times New Roman" w:cs="Times New Roman"/>
        </w:rPr>
        <w:t>Осигуряване на териториалното развитие, устройството на територията, административно-териториалното устройство, децентрализацията, изграждането и развитието на техническата инфраструктура и благоустрояването на урбанизираните територии (населени места и селищни образувания), в съответствие с националните стратегически документи, приоритети и програми в сферата на пространственото развитие, пътната инфраструктура, ВиК инфраструктурата и геозащитата.</w:t>
      </w:r>
      <w:r w:rsidRPr="000D135F">
        <w:rPr>
          <w:rFonts w:ascii="Times New Roman" w:hAnsi="Times New Roman" w:cs="Times New Roman"/>
          <w:b/>
        </w:rPr>
        <w:t xml:space="preserve"> </w:t>
      </w:r>
      <w:r w:rsidRPr="000D135F">
        <w:rPr>
          <w:rFonts w:ascii="Times New Roman" w:hAnsi="Times New Roman" w:cs="Times New Roman"/>
        </w:rPr>
        <w:t>Разпределянето  на средствата от държавния бюджет, които се предвиждат по реда на § 123 от Преходните и Заключителни разпоредби към Закона за изменение и допълнение на Закона за устройство на територията (ПЗР към ЗИД на ЗУТ – изм. ДВ, бр. 98/2014 г.) за финансово подпомагане изработването на общи устройствени планове на общините (ОУПО) и възлагането на изработване на нови или актуализация на действащи общи устройствени планове на Черноморските общини, предвидени по Закона за устройството на Черноморското крайбрежие са възложени на дирекция УТАТУ – отдел Устройство на територията.</w:t>
      </w:r>
    </w:p>
    <w:p w:rsidR="00975C23" w:rsidRPr="000D135F" w:rsidRDefault="00975C23" w:rsidP="00A10F5E">
      <w:pPr>
        <w:pStyle w:val="ListParagraph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14"/>
          <w:lang w:val="en-US"/>
        </w:rPr>
      </w:pPr>
    </w:p>
    <w:p w:rsidR="00135D80" w:rsidRPr="000D135F" w:rsidRDefault="006B2804" w:rsidP="00A10F5E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0000CC"/>
        </w:rPr>
      </w:pPr>
      <w:r w:rsidRPr="000D135F">
        <w:rPr>
          <w:rFonts w:ascii="Times New Roman" w:hAnsi="Times New Roman" w:cs="Times New Roman"/>
          <w:b/>
          <w:i/>
          <w:color w:val="0000CC"/>
        </w:rPr>
        <w:t>Отговорност за разпределението на публичните разходи за политиката</w:t>
      </w:r>
    </w:p>
    <w:p w:rsidR="00135D80" w:rsidRPr="000D135F" w:rsidRDefault="00135D80" w:rsidP="00A10F5E">
      <w:pPr>
        <w:pStyle w:val="ListParagraph"/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b/>
          <w:i/>
          <w:color w:val="0000CC"/>
        </w:rPr>
      </w:pPr>
      <w:r w:rsidRPr="000D135F">
        <w:rPr>
          <w:rFonts w:ascii="Times New Roman" w:hAnsi="Times New Roman" w:cs="Times New Roman"/>
          <w:b/>
          <w:i/>
          <w:color w:val="0000CC"/>
        </w:rPr>
        <w:t>Консолидирани разходи по политиката, които ПРБ разходва пряко чрез бюджета и отговаря за разпределението/разчитането на разходи по други бюджети и ССЕС</w:t>
      </w:r>
    </w:p>
    <w:p w:rsidR="00AA08F4" w:rsidRPr="000D135F" w:rsidRDefault="00AA08F4" w:rsidP="00A10F5E">
      <w:pPr>
        <w:pStyle w:val="ListParagraph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tbl>
      <w:tblPr>
        <w:tblW w:w="968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580"/>
        <w:gridCol w:w="1420"/>
        <w:gridCol w:w="1600"/>
        <w:gridCol w:w="1680"/>
      </w:tblGrid>
      <w:tr w:rsidR="00E22C8B" w:rsidRPr="000D135F" w:rsidTr="00E22C8B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Област на политика (в </w:t>
            </w:r>
            <w:proofErr w:type="spellStart"/>
            <w:r w:rsidRPr="000D13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хил.лв</w:t>
            </w:r>
            <w:proofErr w:type="spellEnd"/>
            <w:r w:rsidRPr="000D13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.)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Общо разходи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По бюджета на ПРБ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По други бюджети и сметки за СЕС</w:t>
            </w:r>
          </w:p>
        </w:tc>
      </w:tr>
      <w:tr w:rsidR="00E22C8B" w:rsidRPr="000D135F" w:rsidTr="00E22C8B">
        <w:trPr>
          <w:trHeight w:val="39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Политика за подобряване на инвестиционния процес, поддържане, модернизация и изграждане на техническата инфраструктура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Проект 2023 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2 548 842,7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2 597 552,6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-48 709,9</w:t>
            </w:r>
          </w:p>
        </w:tc>
      </w:tr>
      <w:tr w:rsidR="00E22C8B" w:rsidRPr="000D135F" w:rsidTr="00E22C8B">
        <w:trPr>
          <w:trHeight w:val="39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Прогноза 2024 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2 554 027,1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2 597 987,6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-43 960,5</w:t>
            </w:r>
          </w:p>
        </w:tc>
      </w:tr>
      <w:tr w:rsidR="00E22C8B" w:rsidRPr="000D135F" w:rsidTr="00E22C8B">
        <w:trPr>
          <w:trHeight w:val="39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Прогноза 2025 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2 565 701,0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2 597 987,6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C8B" w:rsidRPr="000D135F" w:rsidRDefault="00E22C8B" w:rsidP="00E2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0D13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-32 286,6</w:t>
            </w:r>
          </w:p>
        </w:tc>
      </w:tr>
    </w:tbl>
    <w:p w:rsidR="00F9027A" w:rsidRPr="000D135F" w:rsidRDefault="00F9027A" w:rsidP="00A10F5E">
      <w:pPr>
        <w:pStyle w:val="ListParagraph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C626ED" w:rsidRPr="000D135F" w:rsidRDefault="006B2804" w:rsidP="00B57C85">
      <w:pPr>
        <w:pStyle w:val="ListParagraph"/>
        <w:numPr>
          <w:ilvl w:val="0"/>
          <w:numId w:val="1"/>
        </w:numPr>
        <w:spacing w:after="0" w:line="240" w:lineRule="auto"/>
        <w:ind w:firstLine="65"/>
        <w:jc w:val="both"/>
        <w:rPr>
          <w:rFonts w:ascii="Times New Roman" w:hAnsi="Times New Roman" w:cs="Times New Roman"/>
          <w:b/>
          <w:i/>
          <w:color w:val="0000CC"/>
        </w:rPr>
      </w:pPr>
      <w:r w:rsidRPr="000D135F">
        <w:rPr>
          <w:rFonts w:ascii="Times New Roman" w:hAnsi="Times New Roman" w:cs="Times New Roman"/>
          <w:b/>
          <w:i/>
          <w:color w:val="0000CC"/>
        </w:rPr>
        <w:t>Ключови индикатори и целеви стойности (попълва се за всяка област на политика)</w:t>
      </w:r>
    </w:p>
    <w:p w:rsidR="001F782D" w:rsidRPr="000D135F" w:rsidRDefault="001F782D" w:rsidP="001F782D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000CC"/>
        </w:rPr>
      </w:pPr>
    </w:p>
    <w:p w:rsidR="00B84556" w:rsidRPr="000D135F" w:rsidRDefault="00B84556" w:rsidP="00A10F5E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0D135F">
        <w:rPr>
          <w:rFonts w:ascii="Times New Roman" w:hAnsi="Times New Roman" w:cs="Times New Roman"/>
          <w:b/>
          <w:bCs/>
          <w:sz w:val="16"/>
          <w:szCs w:val="16"/>
        </w:rPr>
        <w:t>КЛЮЧОВИ ИНДИКАТОРИ ЗА ИЗПЪЛНЕНИЕ И ЦЕЛЕВИ СТОЙНОСТИ</w:t>
      </w:r>
    </w:p>
    <w:tbl>
      <w:tblPr>
        <w:tblStyle w:val="TableGrid1"/>
        <w:tblW w:w="11057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1275"/>
        <w:gridCol w:w="1134"/>
        <w:gridCol w:w="1267"/>
        <w:gridCol w:w="9"/>
        <w:gridCol w:w="1276"/>
      </w:tblGrid>
      <w:tr w:rsidR="002A5BB3" w:rsidRPr="000D135F" w:rsidTr="000D33E0">
        <w:trPr>
          <w:gridAfter w:val="2"/>
          <w:wAfter w:w="1285" w:type="dxa"/>
          <w:trHeight w:val="566"/>
        </w:trPr>
        <w:tc>
          <w:tcPr>
            <w:tcW w:w="5245" w:type="dxa"/>
          </w:tcPr>
          <w:p w:rsidR="002A5BB3" w:rsidRPr="000D135F" w:rsidRDefault="002A5BB3" w:rsidP="00A10F5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Област на политика:</w:t>
            </w:r>
          </w:p>
          <w:p w:rsidR="002A5BB3" w:rsidRPr="000D135F" w:rsidRDefault="002A5BB3" w:rsidP="00054216">
            <w:pPr>
              <w:ind w:right="-31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3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Политика за </w:t>
            </w:r>
            <w:r w:rsidR="00054216" w:rsidRPr="000D13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подобряване на инвестиционния процес, </w:t>
            </w:r>
            <w:r w:rsidRPr="000D13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поддържане, модернизация и изграждане </w:t>
            </w:r>
            <w:r w:rsidR="00054216" w:rsidRPr="000D13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на техническата инфраструктура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2A5BB3" w:rsidRPr="000D135F" w:rsidRDefault="002A5BB3" w:rsidP="00A10F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Мерна единица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5BB3" w:rsidRPr="000D135F" w:rsidRDefault="002A5BB3" w:rsidP="00A10F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Целева стойност</w:t>
            </w:r>
          </w:p>
        </w:tc>
      </w:tr>
      <w:tr w:rsidR="002A5BB3" w:rsidRPr="000D135F" w:rsidTr="000D33E0">
        <w:trPr>
          <w:gridAfter w:val="1"/>
          <w:wAfter w:w="1276" w:type="dxa"/>
          <w:trHeight w:val="115"/>
        </w:trPr>
        <w:tc>
          <w:tcPr>
            <w:tcW w:w="5245" w:type="dxa"/>
            <w:tcBorders>
              <w:bottom w:val="single" w:sz="4" w:space="0" w:color="auto"/>
            </w:tcBorders>
          </w:tcPr>
          <w:p w:rsidR="002A5BB3" w:rsidRPr="000D135F" w:rsidRDefault="002A5BB3" w:rsidP="00A10F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на индикатора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A5BB3" w:rsidRPr="000D135F" w:rsidRDefault="002A5BB3" w:rsidP="00A10F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A5BB3" w:rsidRPr="000D135F" w:rsidRDefault="002A5BB3" w:rsidP="00A10F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</w:t>
            </w:r>
            <w:r w:rsidR="00E0454A" w:rsidRPr="000D13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ект</w:t>
            </w:r>
          </w:p>
          <w:p w:rsidR="002A5BB3" w:rsidRPr="000D135F" w:rsidRDefault="002A5BB3" w:rsidP="00A10F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  <w:r w:rsidRPr="000D13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2</w:t>
            </w:r>
            <w:r w:rsidR="004675E9" w:rsidRPr="000D13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  <w:r w:rsidRPr="000D13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5BB3" w:rsidRPr="000D135F" w:rsidRDefault="002A5BB3" w:rsidP="00A10F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Прогноза</w:t>
            </w:r>
          </w:p>
          <w:p w:rsidR="002A5BB3" w:rsidRPr="000D135F" w:rsidRDefault="002A5BB3" w:rsidP="00A10F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  <w:r w:rsidRPr="000D13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2</w:t>
            </w:r>
            <w:r w:rsidR="004675E9" w:rsidRPr="000D13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  <w:r w:rsidRPr="000D13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5BB3" w:rsidRPr="000D135F" w:rsidRDefault="002A5BB3" w:rsidP="00A10F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Прогноза</w:t>
            </w:r>
          </w:p>
          <w:p w:rsidR="002A5BB3" w:rsidRPr="000D135F" w:rsidRDefault="002A5BB3" w:rsidP="00A10F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  <w:r w:rsidRPr="000D13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2</w:t>
            </w:r>
            <w:r w:rsidR="004675E9" w:rsidRPr="000D13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  <w:r w:rsidRPr="000D13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г.</w:t>
            </w:r>
          </w:p>
        </w:tc>
      </w:tr>
      <w:tr w:rsidR="00AA08F4" w:rsidRPr="000D135F" w:rsidTr="00A10F5E">
        <w:trPr>
          <w:gridAfter w:val="1"/>
          <w:wAfter w:w="1276" w:type="dxa"/>
          <w:trHeight w:val="246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F4" w:rsidRPr="000D135F" w:rsidRDefault="00AA08F4" w:rsidP="00A10F5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0D13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Подобряване качеството на предоставяната услуга „Водоснабдяване и канализация“, чрез увеличаване броя на жителите, на които се предоставя питейна вода с подобрени качествени показатели и/или на които се осигурява непрекъснатост на водоснабдяването и/или на които се предоставя услугата отвеждане и пречистване на отпадъчните води.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08F4" w:rsidRPr="000D135F" w:rsidRDefault="00AA08F4" w:rsidP="00761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08F4" w:rsidRPr="000D135F" w:rsidRDefault="00AA08F4" w:rsidP="00761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брой</w:t>
            </w:r>
          </w:p>
          <w:p w:rsidR="00AA08F4" w:rsidRPr="000D135F" w:rsidRDefault="00AA08F4" w:rsidP="007610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жители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F4" w:rsidRPr="000D135F" w:rsidRDefault="000E63BB" w:rsidP="007610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bCs/>
                <w:sz w:val="18"/>
                <w:szCs w:val="18"/>
              </w:rPr>
              <w:t>570 000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F4" w:rsidRPr="000D135F" w:rsidRDefault="000E63BB" w:rsidP="007610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bCs/>
                <w:sz w:val="18"/>
                <w:szCs w:val="18"/>
              </w:rPr>
              <w:t>570 000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F4" w:rsidRPr="000D135F" w:rsidRDefault="000E63BB" w:rsidP="007610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bCs/>
                <w:sz w:val="18"/>
                <w:szCs w:val="18"/>
              </w:rPr>
              <w:t>570 000</w:t>
            </w:r>
          </w:p>
        </w:tc>
      </w:tr>
      <w:tr w:rsidR="001A53D6" w:rsidRPr="000D135F" w:rsidTr="00A10F5E">
        <w:trPr>
          <w:gridAfter w:val="1"/>
          <w:wAfter w:w="1276" w:type="dxa"/>
          <w:trHeight w:val="487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3D6" w:rsidRPr="000D135F" w:rsidRDefault="00F26E22" w:rsidP="00A10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A53D6" w:rsidRPr="000D135F">
              <w:rPr>
                <w:rFonts w:ascii="Times New Roman" w:hAnsi="Times New Roman" w:cs="Times New Roman"/>
                <w:sz w:val="18"/>
                <w:szCs w:val="18"/>
              </w:rPr>
              <w:t>. Решения на Министерския съвет за изменения и допълнения на списък на общинските пътища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53D6" w:rsidRPr="000D135F" w:rsidRDefault="00761082" w:rsidP="00761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брой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3D6" w:rsidRPr="000D135F" w:rsidRDefault="008A7609" w:rsidP="0076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3D6" w:rsidRPr="000D135F" w:rsidRDefault="008A7609" w:rsidP="0076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3D6" w:rsidRPr="000D135F" w:rsidRDefault="008A7609" w:rsidP="0076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1A53D6" w:rsidRPr="000D135F" w:rsidTr="00CD19BF">
        <w:trPr>
          <w:gridAfter w:val="1"/>
          <w:wAfter w:w="1276" w:type="dxa"/>
          <w:trHeight w:val="357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3D6" w:rsidRPr="000D135F" w:rsidRDefault="00F26E22" w:rsidP="00467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A53D6" w:rsidRPr="000D135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4675E9" w:rsidRPr="000D13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Завършен благоустройствен пътен обект/подобрена жизнена среда</w:t>
            </w:r>
            <w:r w:rsidR="004675E9" w:rsidRPr="000D135F" w:rsidDel="004F6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="004675E9" w:rsidRPr="000D135F">
              <w:rPr>
                <w:rStyle w:val="FootnoteReference"/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bg-BG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53D6" w:rsidRPr="000D135F" w:rsidRDefault="00761082" w:rsidP="00761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брой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3D6" w:rsidRPr="000D135F" w:rsidRDefault="008A7609" w:rsidP="0076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3D6" w:rsidRPr="000D135F" w:rsidRDefault="008A7609" w:rsidP="0076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3D6" w:rsidRPr="000D135F" w:rsidRDefault="008A7609" w:rsidP="0076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1A53D6" w:rsidRPr="000D135F" w:rsidTr="00CD19BF">
        <w:trPr>
          <w:gridAfter w:val="1"/>
          <w:wAfter w:w="1276" w:type="dxa"/>
          <w:trHeight w:val="357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3D6" w:rsidRPr="000D135F" w:rsidRDefault="00F26E22" w:rsidP="00EE6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A53D6" w:rsidRPr="000D135F">
              <w:rPr>
                <w:rFonts w:ascii="Times New Roman" w:hAnsi="Times New Roman" w:cs="Times New Roman"/>
                <w:sz w:val="18"/>
                <w:szCs w:val="18"/>
              </w:rPr>
              <w:t xml:space="preserve">.Завършени геозащитни </w:t>
            </w:r>
            <w:r w:rsidR="00EE699D" w:rsidRPr="000D135F">
              <w:rPr>
                <w:rFonts w:ascii="Times New Roman" w:hAnsi="Times New Roman" w:cs="Times New Roman"/>
                <w:sz w:val="18"/>
                <w:szCs w:val="18"/>
              </w:rPr>
              <w:t>обекти</w:t>
            </w:r>
            <w:r w:rsidR="00BB0AF0" w:rsidRPr="000D135F">
              <w:rPr>
                <w:rStyle w:val="FootnoteReference"/>
                <w:rFonts w:ascii="Times New Roman" w:hAnsi="Times New Roman" w:cs="Times New Roman"/>
                <w:b/>
                <w:color w:val="0000CC"/>
                <w:sz w:val="18"/>
                <w:szCs w:val="18"/>
              </w:rPr>
              <w:footnoteReference w:id="4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53D6" w:rsidRPr="000D135F" w:rsidRDefault="001A53D6" w:rsidP="00EE699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бр./</w:t>
            </w:r>
            <w:r w:rsidR="00EE699D" w:rsidRPr="000D13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3D6" w:rsidRPr="000D135F" w:rsidRDefault="00975C23" w:rsidP="0076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3D6" w:rsidRPr="000D135F" w:rsidRDefault="00975C23" w:rsidP="0076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3D6" w:rsidRPr="000D135F" w:rsidRDefault="00975C23" w:rsidP="0076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1A53D6" w:rsidRPr="000D135F" w:rsidTr="00CD19BF">
        <w:trPr>
          <w:gridAfter w:val="1"/>
          <w:wAfter w:w="1276" w:type="dxa"/>
          <w:trHeight w:val="357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3D6" w:rsidRPr="000D135F" w:rsidRDefault="00511FA9" w:rsidP="00A10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A53D6" w:rsidRPr="000D135F">
              <w:rPr>
                <w:rFonts w:ascii="Times New Roman" w:hAnsi="Times New Roman" w:cs="Times New Roman"/>
                <w:sz w:val="18"/>
                <w:szCs w:val="18"/>
              </w:rPr>
              <w:t>. Контролирана свлачищна територия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53D6" w:rsidRPr="000D135F" w:rsidRDefault="001A53D6" w:rsidP="00761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ха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3D6" w:rsidRPr="000D135F" w:rsidRDefault="008A7609" w:rsidP="0076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3D6" w:rsidRPr="000D135F" w:rsidRDefault="008A7609" w:rsidP="0076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3D6" w:rsidRPr="000D135F" w:rsidRDefault="008A7609" w:rsidP="0076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</w:t>
            </w:r>
          </w:p>
        </w:tc>
      </w:tr>
      <w:tr w:rsidR="00442AB6" w:rsidRPr="000D135F" w:rsidTr="00A10F5E">
        <w:trPr>
          <w:gridAfter w:val="1"/>
          <w:wAfter w:w="1276" w:type="dxa"/>
          <w:trHeight w:val="35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AB6" w:rsidRPr="000D135F" w:rsidRDefault="00511FA9" w:rsidP="00A10F5E">
            <w:pPr>
              <w:pStyle w:val="ListParagraph"/>
              <w:tabs>
                <w:tab w:val="left" w:pos="179"/>
                <w:tab w:val="left" w:pos="255"/>
              </w:tabs>
              <w:ind w:left="37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  <w:r w:rsidR="00442AB6" w:rsidRPr="000D135F">
              <w:rPr>
                <w:rFonts w:ascii="Times New Roman" w:hAnsi="Times New Roman" w:cs="Times New Roman"/>
                <w:sz w:val="18"/>
                <w:szCs w:val="18"/>
              </w:rPr>
              <w:t xml:space="preserve">. Обезпечаване на територията на страната с общи устройствени планове. </w:t>
            </w:r>
            <w:r w:rsidR="00442AB6" w:rsidRPr="000D135F">
              <w:rPr>
                <w:rFonts w:ascii="Times New Roman" w:hAnsi="Times New Roman" w:cs="Times New Roman"/>
                <w:i/>
                <w:sz w:val="18"/>
                <w:szCs w:val="18"/>
              </w:rPr>
              <w:t>(нарастване на броя на общините с действащи общи устройствени планове)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2AB6" w:rsidRPr="000D135F" w:rsidRDefault="00442AB6" w:rsidP="00761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AB6" w:rsidRPr="000D135F" w:rsidRDefault="0032547B" w:rsidP="00761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AB6" w:rsidRPr="000D135F" w:rsidRDefault="0032547B" w:rsidP="0076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AB6" w:rsidRPr="000D135F" w:rsidRDefault="0032547B" w:rsidP="0076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</w:tr>
      <w:tr w:rsidR="00180D88" w:rsidRPr="000D135F" w:rsidTr="005A35C2">
        <w:trPr>
          <w:gridAfter w:val="1"/>
          <w:wAfter w:w="1276" w:type="dxa"/>
          <w:trHeight w:val="46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D88" w:rsidRPr="000D135F" w:rsidRDefault="00511FA9" w:rsidP="0018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80D88" w:rsidRPr="000D135F">
              <w:rPr>
                <w:rFonts w:ascii="Times New Roman" w:hAnsi="Times New Roman" w:cs="Times New Roman"/>
                <w:sz w:val="18"/>
                <w:szCs w:val="18"/>
              </w:rPr>
              <w:t xml:space="preserve">. Рехабилитация и новоизградени участъци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0D88" w:rsidRPr="000D135F" w:rsidRDefault="00180D88" w:rsidP="00180D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80D88" w:rsidRPr="000D135F" w:rsidRDefault="00180D88" w:rsidP="00180D8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630</w:t>
            </w: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13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0D88" w:rsidRPr="000D135F" w:rsidRDefault="00180D88" w:rsidP="00180D8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D13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</w:t>
            </w: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13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0D88" w:rsidRPr="000D135F" w:rsidRDefault="00180D88" w:rsidP="00180D8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208</w:t>
            </w: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13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702</w:t>
            </w:r>
          </w:p>
        </w:tc>
      </w:tr>
      <w:tr w:rsidR="00F168CE" w:rsidRPr="000D135F" w:rsidTr="00CD19BF">
        <w:trPr>
          <w:trHeight w:val="377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CE" w:rsidRPr="000D135F" w:rsidRDefault="00511FA9" w:rsidP="00A10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168CE" w:rsidRPr="000D135F">
              <w:rPr>
                <w:rFonts w:ascii="Times New Roman" w:hAnsi="Times New Roman" w:cs="Times New Roman"/>
                <w:sz w:val="18"/>
                <w:szCs w:val="18"/>
              </w:rPr>
              <w:t>. Текущ ремонт и поддържане на РПМ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68CE" w:rsidRPr="000D135F" w:rsidRDefault="00F168CE" w:rsidP="00761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CE" w:rsidRPr="000D135F" w:rsidRDefault="00180D88" w:rsidP="00761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19 925.233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CE" w:rsidRPr="000D135F" w:rsidRDefault="00180D88" w:rsidP="00761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19 925.233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CE" w:rsidRPr="000D135F" w:rsidRDefault="00180D88" w:rsidP="009F50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19 925.233</w:t>
            </w:r>
          </w:p>
        </w:tc>
        <w:tc>
          <w:tcPr>
            <w:tcW w:w="1276" w:type="dxa"/>
            <w:vAlign w:val="center"/>
          </w:tcPr>
          <w:p w:rsidR="00F168CE" w:rsidRPr="000D135F" w:rsidRDefault="00F168CE" w:rsidP="00A10F5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168CE" w:rsidRPr="000D135F" w:rsidTr="00CD19BF">
        <w:trPr>
          <w:gridAfter w:val="1"/>
          <w:wAfter w:w="1276" w:type="dxa"/>
          <w:trHeight w:val="377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CE" w:rsidRPr="000D135F" w:rsidRDefault="00511FA9" w:rsidP="00A10F5E">
            <w:pPr>
              <w:tabs>
                <w:tab w:val="left" w:pos="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="00F168CE"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Брой продадени винетки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68CE" w:rsidRPr="000D135F" w:rsidRDefault="00761082" w:rsidP="0076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брой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CE" w:rsidRPr="000D135F" w:rsidRDefault="00F168CE" w:rsidP="00761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6 300 000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CE" w:rsidRPr="000D135F" w:rsidRDefault="00F168CE" w:rsidP="00761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6 300 000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CE" w:rsidRPr="000D135F" w:rsidRDefault="00F168CE" w:rsidP="00761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6 300 000</w:t>
            </w:r>
          </w:p>
        </w:tc>
      </w:tr>
      <w:tr w:rsidR="0029525B" w:rsidRPr="000D135F" w:rsidTr="00C00BF9">
        <w:trPr>
          <w:gridAfter w:val="1"/>
          <w:wAfter w:w="1276" w:type="dxa"/>
          <w:trHeight w:val="377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29525B" w:rsidRPr="000D135F" w:rsidRDefault="0029525B" w:rsidP="0029525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35F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/>
              </w:rPr>
              <w:t>1</w:t>
            </w:r>
            <w:r w:rsidR="00511FA9" w:rsidRPr="000D1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  <w:r w:rsidRPr="000D135F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/>
              </w:rPr>
              <w:t>.</w:t>
            </w:r>
            <w:r w:rsidRPr="000D1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Подобряване условията на жизнената среда в сградите чрез контрол, осъществяван от ДНСК, гарантиращ безопасно и здравословно обитаване при въвеждане в експлоатация на строежи от </w:t>
            </w:r>
            <w:r w:rsidRPr="000D135F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/>
              </w:rPr>
              <w:t xml:space="preserve">I, II </w:t>
            </w:r>
            <w:r w:rsidRPr="000D1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и </w:t>
            </w:r>
            <w:r w:rsidRPr="000D135F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/>
              </w:rPr>
              <w:t xml:space="preserve">III </w:t>
            </w:r>
            <w:r w:rsidRPr="000D1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категория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29525B" w:rsidRPr="000D135F" w:rsidRDefault="0029525B" w:rsidP="00C00BF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vAlign w:val="center"/>
          </w:tcPr>
          <w:p w:rsidR="0029525B" w:rsidRPr="000D135F" w:rsidRDefault="0029525B" w:rsidP="00C00BF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29525B" w:rsidRPr="000D135F" w:rsidRDefault="0029525B" w:rsidP="00C00BF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9525B" w:rsidRPr="000D135F" w:rsidRDefault="0029525B" w:rsidP="00C00BF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29525B" w:rsidRPr="000D135F" w:rsidTr="00C00BF9">
        <w:trPr>
          <w:gridAfter w:val="1"/>
          <w:wAfter w:w="1276" w:type="dxa"/>
          <w:trHeight w:val="377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29525B" w:rsidRPr="000D135F" w:rsidRDefault="0029525B" w:rsidP="00295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11FA9" w:rsidRPr="000D13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D13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0D1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Гарантиране спазването на нормативните изисквания за сигурност, устойчивост, безопасност и достъпност на строежите чрез повишен контрол върху инвестиционния процес в строителството и действията на общинската администрация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525B" w:rsidRPr="000D135F" w:rsidRDefault="0029525B" w:rsidP="00C00BF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25B" w:rsidRPr="000D135F" w:rsidRDefault="0029525B" w:rsidP="00C00BF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D135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Min.(1)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25B" w:rsidRPr="000D135F" w:rsidRDefault="0029525B" w:rsidP="00C00BF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D135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Min.(1)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25B" w:rsidRPr="000D135F" w:rsidRDefault="0029525B" w:rsidP="00C00BF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D135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Min.(1)</w:t>
            </w:r>
          </w:p>
        </w:tc>
      </w:tr>
      <w:tr w:rsidR="0023039C" w:rsidRPr="000D135F" w:rsidTr="00C00BF9">
        <w:trPr>
          <w:gridAfter w:val="1"/>
          <w:wAfter w:w="1276" w:type="dxa"/>
          <w:trHeight w:val="377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23039C" w:rsidRPr="000D135F" w:rsidRDefault="00511FA9" w:rsidP="00295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23039C" w:rsidRPr="000D135F">
              <w:rPr>
                <w:rFonts w:ascii="Times New Roman" w:hAnsi="Times New Roman" w:cs="Times New Roman"/>
                <w:sz w:val="18"/>
                <w:szCs w:val="18"/>
              </w:rPr>
              <w:t>. Предоставени услуги от геодезически топографски и кадастрални данни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39C" w:rsidRPr="000D135F" w:rsidRDefault="0023039C" w:rsidP="00C00BF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млн. </w:t>
            </w:r>
            <w:proofErr w:type="spellStart"/>
            <w:r w:rsidRPr="000D135F">
              <w:rPr>
                <w:rFonts w:ascii="Times New Roman" w:hAnsi="Times New Roman" w:cs="Times New Roman"/>
                <w:bCs/>
                <w:sz w:val="18"/>
                <w:szCs w:val="18"/>
              </w:rPr>
              <w:t>бр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39C" w:rsidRPr="000D135F" w:rsidRDefault="0023039C" w:rsidP="00C00BF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bCs/>
                <w:sz w:val="18"/>
                <w:szCs w:val="18"/>
              </w:rPr>
              <w:t>2,95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39C" w:rsidRPr="000D135F" w:rsidRDefault="0023039C" w:rsidP="00C00BF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bCs/>
                <w:sz w:val="18"/>
                <w:szCs w:val="18"/>
              </w:rPr>
              <w:t>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39C" w:rsidRPr="000D135F" w:rsidRDefault="0023039C" w:rsidP="00C00BF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bCs/>
                <w:sz w:val="18"/>
                <w:szCs w:val="18"/>
              </w:rPr>
              <w:t>3,00</w:t>
            </w:r>
          </w:p>
        </w:tc>
      </w:tr>
      <w:tr w:rsidR="0029525B" w:rsidRPr="000D135F" w:rsidTr="00C00BF9">
        <w:trPr>
          <w:gridAfter w:val="1"/>
          <w:wAfter w:w="1276" w:type="dxa"/>
          <w:trHeight w:val="377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29525B" w:rsidRPr="000D135F" w:rsidRDefault="0029525B" w:rsidP="002303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511FA9"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Поддържане на валидни сертификати, издадени на производители на строителни продукти, от лица за оценяване на строителни продукти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525B" w:rsidRPr="000D135F" w:rsidRDefault="0029525B" w:rsidP="00C00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брой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25B" w:rsidRPr="000D135F" w:rsidRDefault="0029525B" w:rsidP="00C00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25B" w:rsidRPr="000D135F" w:rsidRDefault="0029525B" w:rsidP="00C00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25B" w:rsidRPr="000D135F" w:rsidRDefault="0029525B" w:rsidP="00C00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800</w:t>
            </w:r>
          </w:p>
        </w:tc>
      </w:tr>
      <w:tr w:rsidR="0029525B" w:rsidRPr="000D135F" w:rsidTr="00C00BF9">
        <w:trPr>
          <w:gridAfter w:val="1"/>
          <w:wAfter w:w="1276" w:type="dxa"/>
          <w:trHeight w:val="377"/>
        </w:trPr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29525B" w:rsidRPr="000D135F" w:rsidRDefault="0029525B" w:rsidP="0023039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511FA9"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Участия в заседания на европейско и национално ниво за хармонизиране на националното законодателство с европейското и/или в разработването или отчитането на национални стратегически документи за изпълнение на политики на Европейския съюз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525B" w:rsidRPr="000D135F" w:rsidRDefault="0029525B" w:rsidP="00C00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брой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:rsidR="0029525B" w:rsidRPr="000D135F" w:rsidRDefault="0029525B" w:rsidP="00C00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29525B" w:rsidRPr="000D135F" w:rsidRDefault="0029525B" w:rsidP="00C00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9525B" w:rsidRPr="000D135F" w:rsidRDefault="0029525B" w:rsidP="00C00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D1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</w:tr>
      <w:tr w:rsidR="0029525B" w:rsidRPr="000D135F" w:rsidTr="00C00BF9">
        <w:trPr>
          <w:gridAfter w:val="1"/>
          <w:wAfter w:w="1276" w:type="dxa"/>
          <w:trHeight w:val="377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29525B" w:rsidRPr="000D135F" w:rsidRDefault="0029525B" w:rsidP="002303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11FA9" w:rsidRPr="000D13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. Поддържане на регулаторна база от технически нормативни актове за обследване, проектиране, изграждане и поддържане на строежите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525B" w:rsidRPr="000D135F" w:rsidRDefault="0029525B" w:rsidP="00C00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брой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25B" w:rsidRPr="000D135F" w:rsidRDefault="0029525B" w:rsidP="00463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63166" w:rsidRPr="000D13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25B" w:rsidRPr="000D135F" w:rsidRDefault="0029525B" w:rsidP="00C00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25B" w:rsidRPr="000D135F" w:rsidRDefault="0029525B" w:rsidP="00C00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35F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</w:tbl>
    <w:p w:rsidR="005D27F6" w:rsidRPr="000D135F" w:rsidRDefault="005D27F6" w:rsidP="00A10F5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color w:val="0000CC"/>
        </w:rPr>
      </w:pPr>
    </w:p>
    <w:p w:rsidR="00637376" w:rsidRPr="000D135F" w:rsidRDefault="00637376" w:rsidP="005D27F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color w:val="0000CC"/>
        </w:rPr>
      </w:pPr>
      <w:r w:rsidRPr="000D135F">
        <w:rPr>
          <w:rFonts w:ascii="Times New Roman" w:eastAsia="Calibri" w:hAnsi="Times New Roman" w:cs="Times New Roman"/>
          <w:b/>
          <w:i/>
          <w:color w:val="0000CC"/>
        </w:rPr>
        <w:t>Кратко описание на посочените индикатори.</w:t>
      </w:r>
    </w:p>
    <w:p w:rsidR="00511F1F" w:rsidRPr="000D135F" w:rsidRDefault="00997364" w:rsidP="00552DBD">
      <w:pPr>
        <w:pStyle w:val="ListParagraph"/>
        <w:numPr>
          <w:ilvl w:val="0"/>
          <w:numId w:val="2"/>
        </w:numPr>
        <w:tabs>
          <w:tab w:val="left" w:pos="709"/>
        </w:tabs>
        <w:spacing w:after="0"/>
        <w:ind w:left="0" w:firstLine="567"/>
        <w:jc w:val="both"/>
        <w:rPr>
          <w:rFonts w:ascii="Times New Roman" w:eastAsia="Calibri" w:hAnsi="Times New Roman" w:cs="Times New Roman"/>
        </w:rPr>
      </w:pPr>
      <w:r w:rsidRPr="000D135F">
        <w:rPr>
          <w:rFonts w:ascii="Times New Roman" w:eastAsia="Calibri" w:hAnsi="Times New Roman" w:cs="Times New Roman"/>
          <w:b/>
          <w:i/>
        </w:rPr>
        <w:t>Индикатор</w:t>
      </w:r>
      <w:r w:rsidR="00D6230D" w:rsidRPr="000D135F">
        <w:rPr>
          <w:rFonts w:ascii="Times New Roman" w:eastAsia="Calibri" w:hAnsi="Times New Roman" w:cs="Times New Roman"/>
          <w:b/>
          <w:i/>
        </w:rPr>
        <w:t xml:space="preserve"> „Подобряване качеството на предоставяната услуга „Водоснабдяване и канализация“, чрез увеличаване броя на жителите, на които се предоставя питейна вода с подобрени качествени показатели и/или на които се осигурява непрекъснатост на водоснабдяването и/или на които се предоставя услугата отвеждане и пречистване на отпадъчните води“ </w:t>
      </w:r>
      <w:r w:rsidR="00D6230D" w:rsidRPr="000D135F">
        <w:rPr>
          <w:rFonts w:ascii="Times New Roman" w:eastAsia="Calibri" w:hAnsi="Times New Roman" w:cs="Times New Roman"/>
        </w:rPr>
        <w:t>измерва стратегическите цели, свързани с повишаване ефективността при предоставяне на „ВиК“ услугите, рехабилитация и реконструкция на съществуващите водоснабдителни системи за питейна вода, както и подобряване на качеството на питейната вода;</w:t>
      </w:r>
    </w:p>
    <w:p w:rsidR="009E2262" w:rsidRPr="000D135F" w:rsidRDefault="009E2262" w:rsidP="00552DBD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Batang" w:hAnsi="Times New Roman" w:cs="Times New Roman"/>
          <w:lang w:val="en-US" w:eastAsia="ko-KR"/>
        </w:rPr>
      </w:pPr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>Индикатор „Поддържане на валидни сертификати, издадени на производители на строителни продукти, от лица за оценяване на строителни продукти“</w:t>
      </w:r>
      <w:r w:rsidRPr="000D135F">
        <w:rPr>
          <w:rFonts w:ascii="Times New Roman" w:eastAsia="Batang" w:hAnsi="Times New Roman" w:cs="Times New Roman"/>
          <w:lang w:val="en-US" w:eastAsia="ko-KR"/>
        </w:rPr>
        <w:t xml:space="preserve"> измерва постигането на стратегическа цел „Осигуряване и управление на система за оправомощаване и ефективен контрол върху дейността на лицата, извършващи оценяване на строителните продукти“</w:t>
      </w:r>
      <w:r w:rsidRPr="000D135F">
        <w:rPr>
          <w:rFonts w:ascii="Times New Roman" w:eastAsia="Batang" w:hAnsi="Times New Roman" w:cs="Times New Roman"/>
          <w:lang w:eastAsia="ko-KR"/>
        </w:rPr>
        <w:t>;</w:t>
      </w:r>
    </w:p>
    <w:p w:rsidR="009E2262" w:rsidRPr="000D135F" w:rsidRDefault="009E2262" w:rsidP="00552DBD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Batang" w:hAnsi="Times New Roman" w:cs="Times New Roman"/>
          <w:lang w:val="en-US" w:eastAsia="ko-KR"/>
        </w:rPr>
      </w:pPr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>Индикатор „Участия в заседания на европейско и национално ниво за хармонизиране на националното законодателство с европейското и/или в разработването или отчитането на национални стратегически документи за изпълнение на политики на Европейския съюз“</w:t>
      </w:r>
      <w:r w:rsidRPr="000D135F">
        <w:rPr>
          <w:rFonts w:ascii="Times New Roman" w:eastAsia="Batang" w:hAnsi="Times New Roman" w:cs="Times New Roman"/>
          <w:lang w:val="en-US" w:eastAsia="ko-KR"/>
        </w:rPr>
        <w:t xml:space="preserve"> измерва  стратегическа цел „Защита на националните интереси и отразяването на специфични национални условия при създаването на европейските законодателни актове, свързани със строителните продукти и създаване на национални изисквания за тяхното влагане в строежите на Република България“ и допринася за изпълнение на стратегическа цел „Създаване и управление на техническата нормативна уредба за проектиране, изпълнение и поддържане на строежите, хармонизирана с европейското техническо законодателство, в т.ч. с европейските регламенти, директиви и стандарти, свързани с удовлетворяването на основните изисквания към строежите по чл. 169 от Закона за устройство на територията: носимоспособност, пожарна безопасност, хигиена, здраве и околната среда, достъпност и безопасна експлоатация, защита от шум, икономия на енергия и топлосъхранение, устойчиво използване на природните ресурси, в рамките на икономически обоснован експлоатационен срок“, както и за изпълнението на стратегическа цел „Гарантиране на устойчиво строителство на територията </w:t>
      </w:r>
      <w:r w:rsidRPr="000D135F">
        <w:rPr>
          <w:rFonts w:ascii="Times New Roman" w:eastAsia="Batang" w:hAnsi="Times New Roman" w:cs="Times New Roman"/>
          <w:lang w:val="en-US" w:eastAsia="ko-KR"/>
        </w:rPr>
        <w:lastRenderedPageBreak/>
        <w:t>на Република България чрез създаване на нормативни условия за проектиране, изпълнение и поддържане на безопасни, енергоефективни и достъпни строежи (сгради и строителни съоръжения) и въвеждане и прилагане на европейските регламенти, директиви и стандарти в областта на строителството“.</w:t>
      </w:r>
    </w:p>
    <w:p w:rsidR="006B2804" w:rsidRPr="000D135F" w:rsidRDefault="009E2262" w:rsidP="00552DBD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Batang" w:hAnsi="Times New Roman" w:cs="Times New Roman"/>
          <w:lang w:val="en-US" w:eastAsia="ko-KR"/>
        </w:rPr>
      </w:pPr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>Индикатор „Поддържане на регулаторна база от технически нормативни актове за обследване, проектиране, изграждане и поддържане на строежите“</w:t>
      </w:r>
      <w:r w:rsidRPr="000D135F">
        <w:rPr>
          <w:rFonts w:ascii="Times New Roman" w:eastAsia="Batang" w:hAnsi="Times New Roman" w:cs="Times New Roman"/>
          <w:lang w:val="en-US" w:eastAsia="ko-KR"/>
        </w:rPr>
        <w:t xml:space="preserve"> измерва постигането на стратегическа цел „Създаване и управление на техническата нормативна уредба за проектиране, изпълнение и поддържане на строежите, хармонизирана с европейското техническо законодателство, в т.ч. с европейските регламенти, директиви и стандарти, свързани с удовлетворяването на основните изисквания към строежите по чл. 169 от Закона за устройство на територията: носимоспособност, пожарна безопасност, хигиена, здраве и околната среда, достъпност и безопасна експлоатация, защита от шум, икономия на енергия и топлосъхранение, устойчиво използване на природните ресурси, в рамките на икономически обоснован експлоатационен срок“, и допринася за изпълнението на стратегическа цел „Гарантиране на устойчиво строителство на територията на Република България чрез създаване на нормативни условия за проектиране, изпълнение и поддържане на безопасни, енергоефективни и достъпни строежи (сгради и строителни съоръжения) и въвеждане и прилагане на европейските регламенти, директиви и стандарт</w:t>
      </w:r>
      <w:r w:rsidR="00BF0F15" w:rsidRPr="000D135F">
        <w:rPr>
          <w:rFonts w:ascii="Times New Roman" w:eastAsia="Batang" w:hAnsi="Times New Roman" w:cs="Times New Roman"/>
          <w:lang w:val="en-US" w:eastAsia="ko-KR"/>
        </w:rPr>
        <w:t>и в областта на строителството“;</w:t>
      </w:r>
    </w:p>
    <w:p w:rsidR="00BF0F15" w:rsidRPr="000D135F" w:rsidRDefault="00BF0F15" w:rsidP="00552DBD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 w:rsidRPr="000D135F">
        <w:rPr>
          <w:rFonts w:ascii="Times New Roman" w:hAnsi="Times New Roman"/>
          <w:b/>
          <w:i/>
        </w:rPr>
        <w:t>Индикатор „Подобряване условията на жизнената среда в сградите чрез контрол, осъществяван от ДНСК, гарантиращ безопасно и здравословно обитаване при въвеждане в експлоатация на строежи от I, II и III категория“</w:t>
      </w:r>
      <w:r w:rsidRPr="000D135F">
        <w:rPr>
          <w:rFonts w:ascii="Times New Roman" w:hAnsi="Times New Roman"/>
        </w:rPr>
        <w:t xml:space="preserve"> - целева стойност – 100% , представлява съотношение между издадените Разрешения за ползване и постъпилите заявления за издаване на Разрешения за пол</w:t>
      </w:r>
      <w:r w:rsidR="00F72DF7" w:rsidRPr="000D135F">
        <w:rPr>
          <w:rFonts w:ascii="Times New Roman" w:hAnsi="Times New Roman"/>
        </w:rPr>
        <w:t>зване, за които е назначена ДПК. Строежите от първа, втора и трета категория се въвеждат в експлоатация, съгласно разпоредбата на чл.177, ал.2 ЗУТ, въз основа на разрешение за ползване, издадено от органите на ДНСК. Ползата от дадената политика се изразява в недопускане въвеждането в експлоатация на строежи от първа, втора и трета категория, изпълнени в нарушение на изискванията на чл.169, ал.1, ал.2 и ал.3 от ЗУТ, със строителни продукти несъответстващи на съществените изисквания към строежите, без да е упражняван строителен надзор, в нарушение предвижданията на ПУП и др.</w:t>
      </w:r>
      <w:r w:rsidR="00F72DF7" w:rsidRPr="000D135F">
        <w:rPr>
          <w:rFonts w:ascii="Times New Roman" w:hAnsi="Times New Roman"/>
          <w:lang w:val="en-US"/>
        </w:rPr>
        <w:t xml:space="preserve"> </w:t>
      </w:r>
      <w:r w:rsidR="00F72DF7" w:rsidRPr="000D135F">
        <w:rPr>
          <w:rFonts w:ascii="Times New Roman" w:hAnsi="Times New Roman"/>
        </w:rPr>
        <w:t>Изпълнението на строежи, гарантиращи безопасни и здравословни условия в икономически обоснован експлоатационен срок са гаранция за подобряване условията на жизнената среда в сградите.</w:t>
      </w:r>
    </w:p>
    <w:p w:rsidR="00BF0F15" w:rsidRPr="000D135F" w:rsidRDefault="00BF0F15" w:rsidP="00552DBD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Batang" w:hAnsi="Times New Roman" w:cs="Times New Roman"/>
          <w:lang w:val="en-US" w:eastAsia="ko-KR"/>
        </w:rPr>
      </w:pPr>
      <w:r w:rsidRPr="000D135F">
        <w:rPr>
          <w:rFonts w:ascii="Times New Roman" w:hAnsi="Times New Roman"/>
          <w:b/>
          <w:i/>
        </w:rPr>
        <w:t>Индикатор „Гарантиране спазването на нормативните изисквания за сигурност, устойчивост, безопасност и достъпност на строежите чрез повишен контрол върху инвестиционния процес в строителството и действията на общинската администрация“</w:t>
      </w:r>
      <w:r w:rsidRPr="000D135F">
        <w:rPr>
          <w:rFonts w:ascii="Times New Roman" w:hAnsi="Times New Roman"/>
        </w:rPr>
        <w:t xml:space="preserve"> - изпълнението на целта ще се изчислява като съотношение между броя на издадените административни актове в резултат на осъществен контрол  и броя на извършени проверки на строежи и издадени строителни книжа. Резултатът трябва да клони към </w:t>
      </w:r>
      <w:proofErr w:type="spellStart"/>
      <w:r w:rsidRPr="000D135F">
        <w:rPr>
          <w:rFonts w:ascii="Times New Roman" w:hAnsi="Times New Roman"/>
        </w:rPr>
        <w:t>min</w:t>
      </w:r>
      <w:proofErr w:type="spellEnd"/>
      <w:r w:rsidRPr="000D135F">
        <w:rPr>
          <w:rFonts w:ascii="Times New Roman" w:hAnsi="Times New Roman"/>
        </w:rPr>
        <w:t xml:space="preserve"> . (1).</w:t>
      </w:r>
    </w:p>
    <w:p w:rsidR="008D1DE1" w:rsidRPr="000D135F" w:rsidRDefault="008D1DE1" w:rsidP="00552DBD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Batang" w:hAnsi="Times New Roman" w:cs="Times New Roman"/>
          <w:lang w:val="en-US" w:eastAsia="ko-KR"/>
        </w:rPr>
      </w:pPr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>Индикатор „Предоставени услуги от геодезически топографски и кадастрални данни“</w:t>
      </w:r>
      <w:r w:rsidRPr="000D135F">
        <w:rPr>
          <w:rFonts w:ascii="Times New Roman" w:eastAsia="Batang" w:hAnsi="Times New Roman" w:cs="Times New Roman"/>
          <w:lang w:val="en-US" w:eastAsia="ko-KR"/>
        </w:rPr>
        <w:t xml:space="preserve">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отразява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извършените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за нуждите на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ведомства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,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общини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,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физически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и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юридическите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лица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справки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и услуги при условия и по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ред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,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определени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в ЗКИР, ЗГК и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Тарифа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№ 14 за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таксите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,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които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се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събират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в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системата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на Министерството на регионалното развитие и благоустройството и от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областните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управители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>.</w:t>
      </w:r>
      <w:r w:rsidR="009539E2" w:rsidRPr="000D135F">
        <w:rPr>
          <w:rFonts w:ascii="Times New Roman" w:eastAsia="Batang" w:hAnsi="Times New Roman" w:cs="Times New Roman"/>
          <w:lang w:eastAsia="ko-KR"/>
        </w:rPr>
        <w:t xml:space="preserve"> Индикаторът отразява стратегическа цел по създаване, поддържане и развитие на геоинформационна система, хармонизирана с директивите на Европейския съюз за пространствена информация за управление на масивите от геодезически, топографски, кадастрални данни, в т.ч. данните от Геокартфонд и от регистъра на географските имена и предоставяне на висококач</w:t>
      </w:r>
      <w:r w:rsidR="0035366E" w:rsidRPr="000D135F">
        <w:rPr>
          <w:rFonts w:ascii="Times New Roman" w:eastAsia="Batang" w:hAnsi="Times New Roman" w:cs="Times New Roman"/>
          <w:lang w:eastAsia="ko-KR"/>
        </w:rPr>
        <w:t>ествени услуги на потребителите;</w:t>
      </w:r>
    </w:p>
    <w:p w:rsidR="0035366E" w:rsidRPr="000D135F" w:rsidRDefault="0035366E" w:rsidP="00552DBD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Batang" w:hAnsi="Times New Roman" w:cs="Times New Roman"/>
          <w:lang w:val="en-US" w:eastAsia="ko-KR"/>
        </w:rPr>
      </w:pPr>
      <w:r w:rsidRPr="000D135F">
        <w:rPr>
          <w:rFonts w:ascii="Times New Roman" w:eastAsia="Batang" w:hAnsi="Times New Roman" w:cs="Times New Roman"/>
          <w:b/>
          <w:i/>
          <w:lang w:eastAsia="ko-KR"/>
        </w:rPr>
        <w:t>Индикатор „</w:t>
      </w:r>
      <w:proofErr w:type="spellStart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>Обезпечаване</w:t>
      </w:r>
      <w:proofErr w:type="spellEnd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 xml:space="preserve"> на територията на страната с </w:t>
      </w:r>
      <w:proofErr w:type="spellStart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>общи</w:t>
      </w:r>
      <w:proofErr w:type="spellEnd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 xml:space="preserve"> </w:t>
      </w:r>
      <w:proofErr w:type="spellStart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>устройствени</w:t>
      </w:r>
      <w:proofErr w:type="spellEnd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 xml:space="preserve"> </w:t>
      </w:r>
      <w:proofErr w:type="spellStart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>планове</w:t>
      </w:r>
      <w:proofErr w:type="spellEnd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>”</w:t>
      </w:r>
      <w:r w:rsidRPr="000D135F">
        <w:rPr>
          <w:rFonts w:ascii="Times New Roman" w:eastAsia="Batang" w:hAnsi="Times New Roman" w:cs="Times New Roman"/>
          <w:b/>
          <w:i/>
          <w:lang w:eastAsia="ko-KR"/>
        </w:rPr>
        <w:t xml:space="preserve"> </w:t>
      </w:r>
      <w:r w:rsidR="00D57CF1" w:rsidRPr="000D135F">
        <w:rPr>
          <w:rFonts w:ascii="Times New Roman" w:eastAsia="Batang" w:hAnsi="Times New Roman" w:cs="Times New Roman"/>
          <w:lang w:eastAsia="ko-KR"/>
        </w:rPr>
        <w:t xml:space="preserve">измерва стратегическа цел Гарантиране на устойчиво развитие на територията на Република България като национално богатство, създаване на благоприятни условия за устойчиво и балансирано </w:t>
      </w:r>
      <w:r w:rsidR="00D57CF1" w:rsidRPr="000D135F">
        <w:rPr>
          <w:rFonts w:ascii="Times New Roman" w:eastAsia="Batang" w:hAnsi="Times New Roman" w:cs="Times New Roman"/>
          <w:lang w:eastAsia="ko-KR"/>
        </w:rPr>
        <w:lastRenderedPageBreak/>
        <w:t>икономическо развитие, изграждане, ползване и опазване на хармонична и достъпна среда за живеене, труд и отдих, опазване на околната среда и ку</w:t>
      </w:r>
      <w:r w:rsidR="002B74EF" w:rsidRPr="000D135F">
        <w:rPr>
          <w:rFonts w:ascii="Times New Roman" w:eastAsia="Batang" w:hAnsi="Times New Roman" w:cs="Times New Roman"/>
          <w:lang w:eastAsia="ko-KR"/>
        </w:rPr>
        <w:t>лтурно-историческото наследство;</w:t>
      </w:r>
    </w:p>
    <w:p w:rsidR="002B74EF" w:rsidRPr="000D135F" w:rsidRDefault="002B74EF" w:rsidP="00552DBD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Batang" w:hAnsi="Times New Roman" w:cs="Times New Roman"/>
          <w:lang w:val="en-US" w:eastAsia="ko-KR"/>
        </w:rPr>
      </w:pPr>
      <w:r w:rsidRPr="000D135F">
        <w:rPr>
          <w:rFonts w:ascii="Times New Roman" w:eastAsia="Batang" w:hAnsi="Times New Roman" w:cs="Times New Roman"/>
          <w:b/>
          <w:i/>
          <w:lang w:eastAsia="ko-KR"/>
        </w:rPr>
        <w:t>Индикатор</w:t>
      </w:r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 xml:space="preserve"> „</w:t>
      </w:r>
      <w:proofErr w:type="spellStart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>Контролирана</w:t>
      </w:r>
      <w:proofErr w:type="spellEnd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 xml:space="preserve"> свлачищна </w:t>
      </w:r>
      <w:proofErr w:type="spellStart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>територия</w:t>
      </w:r>
      <w:proofErr w:type="spellEnd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>“</w:t>
      </w:r>
      <w:r w:rsidRPr="000D135F">
        <w:rPr>
          <w:rFonts w:ascii="Times New Roman" w:eastAsia="Batang" w:hAnsi="Times New Roman" w:cs="Times New Roman"/>
          <w:lang w:val="en-US" w:eastAsia="ko-KR"/>
        </w:rPr>
        <w:t xml:space="preserve"> – </w:t>
      </w:r>
      <w:r w:rsidR="00DC7BF8" w:rsidRPr="000D135F">
        <w:rPr>
          <w:rFonts w:ascii="Times New Roman" w:eastAsia="Batang" w:hAnsi="Times New Roman" w:cs="Times New Roman"/>
          <w:lang w:eastAsia="ko-KR"/>
        </w:rPr>
        <w:t>индикаторът</w:t>
      </w:r>
      <w:r w:rsidRPr="000D135F">
        <w:rPr>
          <w:rFonts w:ascii="Times New Roman" w:eastAsia="Batang" w:hAnsi="Times New Roman" w:cs="Times New Roman"/>
          <w:lang w:val="en-US" w:eastAsia="ko-KR"/>
        </w:rPr>
        <w:t xml:space="preserve">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отразява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площта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в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хектари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(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ха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),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предвидена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за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режимни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изследвания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на свлачищните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райони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на територията на страната,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включващи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измервания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на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контролно-измервателни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системи.</w:t>
      </w:r>
    </w:p>
    <w:p w:rsidR="002B74EF" w:rsidRPr="000D135F" w:rsidRDefault="002B74EF" w:rsidP="00552DBD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Batang" w:hAnsi="Times New Roman" w:cs="Times New Roman"/>
          <w:lang w:val="en-US" w:eastAsia="ko-KR"/>
        </w:rPr>
      </w:pPr>
      <w:r w:rsidRPr="000D135F">
        <w:rPr>
          <w:rFonts w:ascii="Times New Roman" w:eastAsia="Batang" w:hAnsi="Times New Roman" w:cs="Times New Roman"/>
          <w:b/>
          <w:i/>
          <w:lang w:eastAsia="ko-KR"/>
        </w:rPr>
        <w:t>Индикатор</w:t>
      </w:r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 xml:space="preserve"> „</w:t>
      </w:r>
      <w:proofErr w:type="spellStart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>Завършени</w:t>
      </w:r>
      <w:proofErr w:type="spellEnd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 xml:space="preserve"> геозащитни обекти”</w:t>
      </w:r>
      <w:r w:rsidRPr="000D135F">
        <w:rPr>
          <w:rFonts w:ascii="Times New Roman" w:eastAsia="Batang" w:hAnsi="Times New Roman" w:cs="Times New Roman"/>
          <w:lang w:val="en-US" w:eastAsia="ko-KR"/>
        </w:rPr>
        <w:t xml:space="preserve"> - </w:t>
      </w:r>
      <w:r w:rsidR="00DC7BF8" w:rsidRPr="000D135F">
        <w:rPr>
          <w:rFonts w:ascii="Times New Roman" w:eastAsia="Batang" w:hAnsi="Times New Roman" w:cs="Times New Roman"/>
          <w:lang w:eastAsia="ko-KR"/>
        </w:rPr>
        <w:t>индикаторът</w:t>
      </w:r>
      <w:r w:rsidRPr="000D135F">
        <w:rPr>
          <w:rFonts w:ascii="Times New Roman" w:eastAsia="Batang" w:hAnsi="Times New Roman" w:cs="Times New Roman"/>
          <w:lang w:val="en-US" w:eastAsia="ko-KR"/>
        </w:rPr>
        <w:t xml:space="preserve">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отразява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броя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на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завършените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обекти,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въведени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в експлоатация с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разрешение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за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ползване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или % от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реализиран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обект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>.</w:t>
      </w:r>
    </w:p>
    <w:p w:rsidR="002B74EF" w:rsidRPr="000D135F" w:rsidRDefault="002B74EF" w:rsidP="00552DBD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Batang" w:hAnsi="Times New Roman" w:cs="Times New Roman"/>
          <w:lang w:val="en-US" w:eastAsia="ko-KR"/>
        </w:rPr>
      </w:pPr>
      <w:r w:rsidRPr="000D135F">
        <w:rPr>
          <w:rFonts w:ascii="Times New Roman" w:eastAsia="Batang" w:hAnsi="Times New Roman" w:cs="Times New Roman"/>
          <w:b/>
          <w:i/>
          <w:lang w:eastAsia="ko-KR"/>
        </w:rPr>
        <w:t>Индикатор</w:t>
      </w:r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 xml:space="preserve"> „</w:t>
      </w:r>
      <w:proofErr w:type="spellStart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>Решения</w:t>
      </w:r>
      <w:proofErr w:type="spellEnd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 xml:space="preserve"> на </w:t>
      </w:r>
      <w:proofErr w:type="spellStart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>Министерския</w:t>
      </w:r>
      <w:proofErr w:type="spellEnd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 xml:space="preserve"> съвет за </w:t>
      </w:r>
      <w:proofErr w:type="spellStart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>изменения</w:t>
      </w:r>
      <w:proofErr w:type="spellEnd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 xml:space="preserve"> и </w:t>
      </w:r>
      <w:proofErr w:type="spellStart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>допълнения</w:t>
      </w:r>
      <w:proofErr w:type="spellEnd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 xml:space="preserve"> на </w:t>
      </w:r>
      <w:proofErr w:type="spellStart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>списъка</w:t>
      </w:r>
      <w:proofErr w:type="spellEnd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 xml:space="preserve"> на общинските пътища“</w:t>
      </w:r>
      <w:r w:rsidRPr="000D135F">
        <w:rPr>
          <w:rFonts w:ascii="Times New Roman" w:eastAsia="Batang" w:hAnsi="Times New Roman" w:cs="Times New Roman"/>
          <w:lang w:val="en-US" w:eastAsia="ko-KR"/>
        </w:rPr>
        <w:t xml:space="preserve"> е на база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предложения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на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общините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за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включване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на нови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пътни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трасета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или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изменения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на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трасета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в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списъка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на общинските пътища,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одобрени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и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приети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от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Министерския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съвет.</w:t>
      </w:r>
    </w:p>
    <w:p w:rsidR="002B74EF" w:rsidRPr="000D135F" w:rsidRDefault="002B74EF" w:rsidP="00552DBD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Batang" w:hAnsi="Times New Roman" w:cs="Times New Roman"/>
          <w:lang w:val="en-US" w:eastAsia="ko-KR"/>
        </w:rPr>
      </w:pPr>
      <w:r w:rsidRPr="000D135F">
        <w:rPr>
          <w:rFonts w:ascii="Times New Roman" w:eastAsia="Batang" w:hAnsi="Times New Roman" w:cs="Times New Roman"/>
          <w:b/>
          <w:i/>
          <w:lang w:eastAsia="ko-KR"/>
        </w:rPr>
        <w:t>Индикатор</w:t>
      </w:r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 xml:space="preserve"> „</w:t>
      </w:r>
      <w:proofErr w:type="spellStart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>Завършен</w:t>
      </w:r>
      <w:proofErr w:type="spellEnd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 xml:space="preserve"> </w:t>
      </w:r>
      <w:proofErr w:type="spellStart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>благоустройствен</w:t>
      </w:r>
      <w:proofErr w:type="spellEnd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 xml:space="preserve"> пътен </w:t>
      </w:r>
      <w:proofErr w:type="spellStart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>обект</w:t>
      </w:r>
      <w:proofErr w:type="spellEnd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>/</w:t>
      </w:r>
      <w:proofErr w:type="spellStart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>подобрена</w:t>
      </w:r>
      <w:proofErr w:type="spellEnd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 xml:space="preserve"> </w:t>
      </w:r>
      <w:proofErr w:type="spellStart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>жизнена</w:t>
      </w:r>
      <w:proofErr w:type="spellEnd"/>
      <w:r w:rsidRPr="000D135F">
        <w:rPr>
          <w:rFonts w:ascii="Times New Roman" w:eastAsia="Batang" w:hAnsi="Times New Roman" w:cs="Times New Roman"/>
          <w:b/>
          <w:i/>
          <w:lang w:val="en-US" w:eastAsia="ko-KR"/>
        </w:rPr>
        <w:t xml:space="preserve"> среда“</w:t>
      </w:r>
      <w:r w:rsidRPr="000D135F">
        <w:rPr>
          <w:rFonts w:ascii="Times New Roman" w:eastAsia="Batang" w:hAnsi="Times New Roman" w:cs="Times New Roman"/>
          <w:lang w:val="en-US" w:eastAsia="ko-KR"/>
        </w:rPr>
        <w:t xml:space="preserve"> е на база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издадено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Разрешение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за 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ползване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>/</w:t>
      </w:r>
      <w:proofErr w:type="spellStart"/>
      <w:r w:rsidRPr="000D135F">
        <w:rPr>
          <w:rFonts w:ascii="Times New Roman" w:eastAsia="Batang" w:hAnsi="Times New Roman" w:cs="Times New Roman"/>
          <w:lang w:val="en-US" w:eastAsia="ko-KR"/>
        </w:rPr>
        <w:t>Удостоверение</w:t>
      </w:r>
      <w:proofErr w:type="spellEnd"/>
      <w:r w:rsidRPr="000D135F">
        <w:rPr>
          <w:rFonts w:ascii="Times New Roman" w:eastAsia="Batang" w:hAnsi="Times New Roman" w:cs="Times New Roman"/>
          <w:lang w:val="en-US" w:eastAsia="ko-KR"/>
        </w:rPr>
        <w:t xml:space="preserve"> за въвеждане в експлоатация.</w:t>
      </w:r>
    </w:p>
    <w:p w:rsidR="00180D88" w:rsidRPr="00180D88" w:rsidRDefault="00180D88" w:rsidP="00552DBD">
      <w:pPr>
        <w:pStyle w:val="ListParagraph"/>
        <w:spacing w:after="0"/>
        <w:ind w:left="0" w:firstLine="567"/>
        <w:jc w:val="both"/>
        <w:rPr>
          <w:rFonts w:ascii="Times New Roman" w:eastAsia="Batang" w:hAnsi="Times New Roman" w:cs="Times New Roman"/>
          <w:highlight w:val="yellow"/>
          <w:lang w:val="en-US" w:eastAsia="ko-KR"/>
        </w:rPr>
      </w:pPr>
    </w:p>
    <w:sectPr w:rsidR="00180D88" w:rsidRPr="00180D88" w:rsidSect="00CD19BF">
      <w:headerReference w:type="default" r:id="rId8"/>
      <w:footerReference w:type="default" r:id="rId9"/>
      <w:headerReference w:type="first" r:id="rId10"/>
      <w:pgSz w:w="11906" w:h="16838"/>
      <w:pgMar w:top="1702" w:right="991" w:bottom="851" w:left="1276" w:header="993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B3A" w:rsidRDefault="00450B3A">
      <w:pPr>
        <w:spacing w:after="0" w:line="240" w:lineRule="auto"/>
      </w:pPr>
      <w:r>
        <w:separator/>
      </w:r>
    </w:p>
  </w:endnote>
  <w:endnote w:type="continuationSeparator" w:id="0">
    <w:p w:rsidR="00450B3A" w:rsidRDefault="0045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9319162"/>
      <w:docPartObj>
        <w:docPartGallery w:val="Page Numbers (Bottom of Page)"/>
        <w:docPartUnique/>
      </w:docPartObj>
    </w:sdtPr>
    <w:sdtEndPr/>
    <w:sdtContent>
      <w:sdt>
        <w:sdtPr>
          <w:id w:val="256648452"/>
          <w:docPartObj>
            <w:docPartGallery w:val="Page Numbers (Top of Page)"/>
            <w:docPartUnique/>
          </w:docPartObj>
        </w:sdtPr>
        <w:sdtEndPr/>
        <w:sdtContent>
          <w:p w:rsidR="00391AC1" w:rsidRPr="0025354B" w:rsidRDefault="00061E89">
            <w:pPr>
              <w:pStyle w:val="Footer"/>
              <w:jc w:val="right"/>
              <w:rPr>
                <w:b/>
                <w:bCs/>
                <w:lang w:val="en-US"/>
              </w:rPr>
            </w:pPr>
            <w:r>
              <w:t xml:space="preserve">стр.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52DB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от </w:t>
            </w:r>
            <w:r w:rsidR="00391AC1">
              <w:rPr>
                <w:b/>
                <w:bCs/>
              </w:rPr>
              <w:t>1</w:t>
            </w:r>
            <w:r w:rsidR="0025354B">
              <w:rPr>
                <w:b/>
                <w:bCs/>
                <w:lang w:val="en-US"/>
              </w:rPr>
              <w:t>3</w:t>
            </w:r>
          </w:p>
          <w:p w:rsidR="00061E89" w:rsidRPr="00734C60" w:rsidRDefault="00450B3A">
            <w:pPr>
              <w:pStyle w:val="Footer"/>
              <w:jc w:val="right"/>
              <w:rPr>
                <w:lang w:val="en-US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B3A" w:rsidRDefault="00450B3A">
      <w:pPr>
        <w:spacing w:after="0" w:line="240" w:lineRule="auto"/>
      </w:pPr>
      <w:r>
        <w:separator/>
      </w:r>
    </w:p>
  </w:footnote>
  <w:footnote w:type="continuationSeparator" w:id="0">
    <w:p w:rsidR="00450B3A" w:rsidRDefault="00450B3A">
      <w:pPr>
        <w:spacing w:after="0" w:line="240" w:lineRule="auto"/>
      </w:pPr>
      <w:r>
        <w:continuationSeparator/>
      </w:r>
    </w:p>
  </w:footnote>
  <w:footnote w:id="1">
    <w:p w:rsidR="00D51E1F" w:rsidRPr="00BA1456" w:rsidRDefault="00D51E1F" w:rsidP="004C55E9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BA1456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BA1456">
        <w:rPr>
          <w:rFonts w:ascii="Times New Roman" w:hAnsi="Times New Roman" w:cs="Times New Roman"/>
          <w:sz w:val="16"/>
          <w:szCs w:val="16"/>
        </w:rPr>
        <w:t xml:space="preserve"> Предвижда се през 2022 г. да бъде разработена нова  Пътна карта за реализиране на регионалната политика</w:t>
      </w:r>
      <w:r w:rsidRPr="00BA145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BA1456">
        <w:rPr>
          <w:rFonts w:ascii="Times New Roman" w:hAnsi="Times New Roman" w:cs="Times New Roman"/>
          <w:sz w:val="16"/>
          <w:szCs w:val="16"/>
        </w:rPr>
        <w:t xml:space="preserve">с цел създаване на условия за балансирано териториално развитие, чието  изпълнение да стартира през  2023 г. </w:t>
      </w:r>
    </w:p>
  </w:footnote>
  <w:footnote w:id="2">
    <w:p w:rsidR="00D51E1F" w:rsidRPr="008A05CD" w:rsidRDefault="00D51E1F" w:rsidP="004C55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val="ru-RU"/>
        </w:rPr>
      </w:pPr>
      <w:r w:rsidRPr="00BA1456">
        <w:rPr>
          <w:rStyle w:val="FootnoteReference"/>
          <w:sz w:val="16"/>
          <w:szCs w:val="16"/>
        </w:rPr>
        <w:footnoteRef/>
      </w:r>
      <w:r w:rsidRPr="00BA1456">
        <w:rPr>
          <w:sz w:val="16"/>
          <w:szCs w:val="16"/>
        </w:rPr>
        <w:t xml:space="preserve"> </w:t>
      </w:r>
      <w:r w:rsidRPr="00BA1456">
        <w:rPr>
          <w:rFonts w:ascii="Times New Roman" w:eastAsia="Calibri" w:hAnsi="Times New Roman" w:cs="Times New Roman"/>
          <w:sz w:val="16"/>
          <w:szCs w:val="16"/>
        </w:rPr>
        <w:t xml:space="preserve">Целевите стойности на </w:t>
      </w:r>
      <w:r w:rsidR="00B156AF" w:rsidRPr="00BA1456">
        <w:rPr>
          <w:rFonts w:ascii="Times New Roman" w:eastAsia="Calibri" w:hAnsi="Times New Roman" w:cs="Times New Roman"/>
          <w:sz w:val="16"/>
          <w:szCs w:val="16"/>
        </w:rPr>
        <w:t>индикатори</w:t>
      </w:r>
      <w:r w:rsidRPr="00BA1456">
        <w:rPr>
          <w:rFonts w:ascii="Times New Roman" w:eastAsia="Calibri" w:hAnsi="Times New Roman" w:cs="Times New Roman"/>
          <w:sz w:val="16"/>
          <w:szCs w:val="16"/>
        </w:rPr>
        <w:t xml:space="preserve"> от т.3 до т. 6, </w:t>
      </w:r>
      <w:r w:rsidRPr="00BA1456">
        <w:rPr>
          <w:rFonts w:ascii="Times New Roman" w:eastAsia="Calibri" w:hAnsi="Times New Roman" w:cs="Times New Roman"/>
          <w:color w:val="000000"/>
          <w:sz w:val="16"/>
          <w:szCs w:val="16"/>
          <w:lang w:val="ru-RU"/>
        </w:rPr>
        <w:t>касаят програмите за ТГС ИНТЕРРЕГ ИПП 2014-2020, управлявани от МРРБ и са определени в одобрените от ЕК програмни документи за целия период на изпълнение на програмите</w:t>
      </w:r>
      <w:r w:rsidR="007E59B3" w:rsidRPr="00BA1456">
        <w:rPr>
          <w:rFonts w:ascii="Times New Roman" w:eastAsia="Calibri" w:hAnsi="Times New Roman" w:cs="Times New Roman"/>
          <w:color w:val="000000"/>
          <w:sz w:val="16"/>
          <w:szCs w:val="16"/>
        </w:rPr>
        <w:t>.</w:t>
      </w:r>
    </w:p>
    <w:p w:rsidR="00D51E1F" w:rsidRDefault="00D51E1F" w:rsidP="004C55E9">
      <w:pPr>
        <w:pStyle w:val="FootnoteText"/>
        <w:jc w:val="both"/>
      </w:pPr>
    </w:p>
  </w:footnote>
  <w:footnote w:id="3">
    <w:p w:rsidR="004675E9" w:rsidRPr="00552DBD" w:rsidRDefault="004675E9" w:rsidP="00BB0AF0">
      <w:pPr>
        <w:pStyle w:val="FootnoteText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552DBD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552DBD">
        <w:rPr>
          <w:rFonts w:ascii="Times New Roman" w:hAnsi="Times New Roman" w:cs="Times New Roman"/>
          <w:sz w:val="16"/>
          <w:szCs w:val="16"/>
        </w:rPr>
        <w:t xml:space="preserve"> </w:t>
      </w:r>
      <w:r w:rsidRPr="00552DBD"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 xml:space="preserve">Целевата стойност на </w:t>
      </w:r>
      <w:r w:rsidR="0069146C" w:rsidRPr="00552DBD"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>индикатор</w:t>
      </w:r>
      <w:r w:rsidRPr="00552DBD"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 xml:space="preserve"> „Завършен благоустройствен пътен обект/подобрена жизнена среда“ е на база издадено Разрешение за ползване</w:t>
      </w:r>
      <w:r w:rsidRPr="00552DBD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bg-BG"/>
        </w:rPr>
        <w:t>/</w:t>
      </w:r>
      <w:r w:rsidRPr="00552DBD"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>Удостоверение за въвеждане в експлоатация;</w:t>
      </w:r>
    </w:p>
  </w:footnote>
  <w:footnote w:id="4">
    <w:p w:rsidR="00BB0AF0" w:rsidRPr="008A05CD" w:rsidRDefault="00BB0AF0" w:rsidP="00BB0AF0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552DBD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552DBD">
        <w:rPr>
          <w:rFonts w:ascii="Times New Roman" w:hAnsi="Times New Roman" w:cs="Times New Roman"/>
          <w:sz w:val="16"/>
          <w:szCs w:val="16"/>
        </w:rPr>
        <w:t xml:space="preserve"> Стойността на </w:t>
      </w:r>
      <w:r w:rsidR="0069146C" w:rsidRPr="00552DBD">
        <w:rPr>
          <w:rFonts w:ascii="Times New Roman" w:hAnsi="Times New Roman" w:cs="Times New Roman"/>
          <w:sz w:val="16"/>
          <w:szCs w:val="16"/>
        </w:rPr>
        <w:t>индикатор</w:t>
      </w:r>
      <w:r w:rsidRPr="00552DBD">
        <w:rPr>
          <w:rFonts w:ascii="Times New Roman" w:hAnsi="Times New Roman" w:cs="Times New Roman"/>
          <w:sz w:val="16"/>
          <w:szCs w:val="16"/>
        </w:rPr>
        <w:t xml:space="preserve"> „Завършени геозащитни обекти“ е на база завършени обекти, въведени в експлоатация с Разрешения за ползване на обекти</w:t>
      </w:r>
      <w:r w:rsidR="00975C23" w:rsidRPr="00552DBD">
        <w:rPr>
          <w:rFonts w:ascii="Times New Roman" w:hAnsi="Times New Roman" w:cs="Times New Roman"/>
          <w:sz w:val="16"/>
          <w:szCs w:val="16"/>
        </w:rPr>
        <w:t xml:space="preserve"> или % от реализиран обект</w:t>
      </w:r>
      <w:r w:rsidRPr="00552DBD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61E89" w:rsidTr="0045306D">
      <w:trPr>
        <w:trHeight w:val="267"/>
      </w:trPr>
      <w:tc>
        <w:tcPr>
          <w:tcW w:w="9736" w:type="dxa"/>
        </w:tcPr>
        <w:p w:rsidR="00061E89" w:rsidRDefault="00061E89" w:rsidP="004841E7">
          <w:pPr>
            <w:pStyle w:val="Header"/>
            <w:jc w:val="center"/>
          </w:pPr>
          <w:r>
            <w:t>Ключови индикатори за изпълнение на политиките и целеви стойности за периода 202</w:t>
          </w:r>
          <w:r w:rsidR="00D51E1F">
            <w:rPr>
              <w:lang w:val="en-US"/>
            </w:rPr>
            <w:t>3</w:t>
          </w:r>
          <w:r w:rsidR="00D51E1F">
            <w:t>-2025</w:t>
          </w:r>
          <w:r>
            <w:t xml:space="preserve"> г.</w:t>
          </w:r>
        </w:p>
      </w:tc>
    </w:tr>
  </w:tbl>
  <w:p w:rsidR="00061E89" w:rsidRDefault="00061E89" w:rsidP="001B4D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08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8"/>
      <w:gridCol w:w="7380"/>
    </w:tblGrid>
    <w:tr w:rsidR="00061E89" w:rsidTr="001B4D1D">
      <w:trPr>
        <w:trHeight w:val="1445"/>
      </w:trPr>
      <w:tc>
        <w:tcPr>
          <w:tcW w:w="1728" w:type="dxa"/>
        </w:tcPr>
        <w:p w:rsidR="00061E89" w:rsidRDefault="00061E89" w:rsidP="001B4D1D">
          <w:pPr>
            <w:jc w:val="center"/>
            <w:rPr>
              <w:b/>
              <w:lang w:val="en-US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60288" behindDoc="0" locked="0" layoutInCell="1" allowOverlap="1" wp14:anchorId="1D64C14F" wp14:editId="3D58A527">
                <wp:simplePos x="0" y="0"/>
                <wp:positionH relativeFrom="column">
                  <wp:posOffset>-1905</wp:posOffset>
                </wp:positionH>
                <wp:positionV relativeFrom="paragraph">
                  <wp:posOffset>-34925</wp:posOffset>
                </wp:positionV>
                <wp:extent cx="1056960" cy="900000"/>
                <wp:effectExtent l="0" t="0" r="0" b="0"/>
                <wp:wrapNone/>
                <wp:docPr id="13" name="Picture 13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96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lang w:val="en-US"/>
            </w:rPr>
            <w:ptab w:relativeTo="margin" w:alignment="center" w:leader="none"/>
          </w:r>
        </w:p>
      </w:tc>
      <w:tc>
        <w:tcPr>
          <w:tcW w:w="7380" w:type="dxa"/>
          <w:vAlign w:val="center"/>
        </w:tcPr>
        <w:p w:rsidR="00061E89" w:rsidRPr="00821983" w:rsidRDefault="00061E89" w:rsidP="001B4D1D">
          <w:pPr>
            <w:jc w:val="center"/>
            <w:rPr>
              <w:rFonts w:ascii="Times New Roman Bold" w:hAnsi="Times New Roman Bold"/>
              <w:b/>
              <w:lang w:val="en-US"/>
            </w:rPr>
          </w:pPr>
          <w:r w:rsidRPr="00821983">
            <w:rPr>
              <w:rFonts w:ascii="Times New Roman Bold" w:hAnsi="Times New Roman Bold"/>
              <w:b/>
            </w:rPr>
            <w:t>РЕПУБЛИКА БЪЛГАРИЯ</w:t>
          </w:r>
        </w:p>
        <w:p w:rsidR="00061E89" w:rsidRPr="00821983" w:rsidRDefault="00061E89" w:rsidP="001B4D1D">
          <w:pPr>
            <w:jc w:val="center"/>
            <w:rPr>
              <w:rFonts w:ascii="Times New Roman Bold" w:hAnsi="Times New Roman Bold"/>
              <w:b/>
              <w:lang w:val="en-US"/>
            </w:rPr>
          </w:pPr>
          <w:r w:rsidRPr="0037668F">
            <w:rPr>
              <w:rFonts w:ascii="Times New Roman Bold" w:hAnsi="Times New Roman Bold"/>
              <w:b/>
            </w:rPr>
            <w:t>Заместник-министър на регионалното развитие и благоустройството</w:t>
          </w:r>
        </w:p>
      </w:tc>
    </w:tr>
  </w:tbl>
  <w:p w:rsidR="00061E89" w:rsidRDefault="00061E89" w:rsidP="001B4D1D">
    <w:pPr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D0D8"/>
      </v:shape>
    </w:pict>
  </w:numPicBullet>
  <w:abstractNum w:abstractNumId="0" w15:restartNumberingAfterBreak="0">
    <w:nsid w:val="02A51402"/>
    <w:multiLevelType w:val="hybridMultilevel"/>
    <w:tmpl w:val="6FE8AE32"/>
    <w:lvl w:ilvl="0" w:tplc="0402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7953"/>
    <w:multiLevelType w:val="hybridMultilevel"/>
    <w:tmpl w:val="9FAAC7B4"/>
    <w:lvl w:ilvl="0" w:tplc="C94E6B44">
      <w:start w:val="5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4149"/>
    <w:multiLevelType w:val="hybridMultilevel"/>
    <w:tmpl w:val="A244A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0035D"/>
    <w:multiLevelType w:val="hybridMultilevel"/>
    <w:tmpl w:val="50DA338A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62853"/>
    <w:multiLevelType w:val="hybridMultilevel"/>
    <w:tmpl w:val="71D67C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E0130"/>
    <w:multiLevelType w:val="hybridMultilevel"/>
    <w:tmpl w:val="9B9C4D02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01E83"/>
    <w:multiLevelType w:val="hybridMultilevel"/>
    <w:tmpl w:val="8AB0F2B8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5647B1"/>
    <w:multiLevelType w:val="hybridMultilevel"/>
    <w:tmpl w:val="3D88E94A"/>
    <w:lvl w:ilvl="0" w:tplc="E5929DCC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8E5F67"/>
    <w:multiLevelType w:val="hybridMultilevel"/>
    <w:tmpl w:val="5246BC6E"/>
    <w:lvl w:ilvl="0" w:tplc="46046DF4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b w:val="0"/>
        <w:sz w:val="16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6A42B4A"/>
    <w:multiLevelType w:val="hybridMultilevel"/>
    <w:tmpl w:val="5F20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55D10"/>
    <w:multiLevelType w:val="hybridMultilevel"/>
    <w:tmpl w:val="2DDCD77C"/>
    <w:lvl w:ilvl="0" w:tplc="D5FA83B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31E92"/>
    <w:multiLevelType w:val="hybridMultilevel"/>
    <w:tmpl w:val="3424C2BA"/>
    <w:lvl w:ilvl="0" w:tplc="0EC63542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54513"/>
    <w:multiLevelType w:val="hybridMultilevel"/>
    <w:tmpl w:val="C7661A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026E4"/>
    <w:multiLevelType w:val="hybridMultilevel"/>
    <w:tmpl w:val="5C06B2D6"/>
    <w:lvl w:ilvl="0" w:tplc="0402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AA324D"/>
    <w:multiLevelType w:val="hybridMultilevel"/>
    <w:tmpl w:val="C32E3E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B30E0"/>
    <w:multiLevelType w:val="hybridMultilevel"/>
    <w:tmpl w:val="FC0858E2"/>
    <w:lvl w:ilvl="0" w:tplc="E37EF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6047AFA"/>
    <w:multiLevelType w:val="hybridMultilevel"/>
    <w:tmpl w:val="DCC29804"/>
    <w:lvl w:ilvl="0" w:tplc="0402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7655706"/>
    <w:multiLevelType w:val="hybridMultilevel"/>
    <w:tmpl w:val="C41AA56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8252314"/>
    <w:multiLevelType w:val="hybridMultilevel"/>
    <w:tmpl w:val="82D22E8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83B6240"/>
    <w:multiLevelType w:val="hybridMultilevel"/>
    <w:tmpl w:val="167878A4"/>
    <w:lvl w:ilvl="0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3B6A148E"/>
    <w:multiLevelType w:val="hybridMultilevel"/>
    <w:tmpl w:val="94DAF4D0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E237BBD"/>
    <w:multiLevelType w:val="hybridMultilevel"/>
    <w:tmpl w:val="C5ACCF34"/>
    <w:lvl w:ilvl="0" w:tplc="040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5046A40"/>
    <w:multiLevelType w:val="hybridMultilevel"/>
    <w:tmpl w:val="08B6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620C5"/>
    <w:multiLevelType w:val="hybridMultilevel"/>
    <w:tmpl w:val="C3567116"/>
    <w:lvl w:ilvl="0" w:tplc="0402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7EC777E"/>
    <w:multiLevelType w:val="hybridMultilevel"/>
    <w:tmpl w:val="D67A8684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AA606A7"/>
    <w:multiLevelType w:val="hybridMultilevel"/>
    <w:tmpl w:val="E0EEA3A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B170297"/>
    <w:multiLevelType w:val="hybridMultilevel"/>
    <w:tmpl w:val="2CDC4622"/>
    <w:lvl w:ilvl="0" w:tplc="0402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6B3464"/>
    <w:multiLevelType w:val="hybridMultilevel"/>
    <w:tmpl w:val="3408762A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54328"/>
    <w:multiLevelType w:val="hybridMultilevel"/>
    <w:tmpl w:val="8D58E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862DF"/>
    <w:multiLevelType w:val="hybridMultilevel"/>
    <w:tmpl w:val="D1D8C1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066F3"/>
    <w:multiLevelType w:val="hybridMultilevel"/>
    <w:tmpl w:val="4B5C966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D11C98"/>
    <w:multiLevelType w:val="hybridMultilevel"/>
    <w:tmpl w:val="2E74A1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2618B"/>
    <w:multiLevelType w:val="hybridMultilevel"/>
    <w:tmpl w:val="3EDCF9CC"/>
    <w:lvl w:ilvl="0" w:tplc="0402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AB47DE1"/>
    <w:multiLevelType w:val="hybridMultilevel"/>
    <w:tmpl w:val="44FA7D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116B0"/>
    <w:multiLevelType w:val="hybridMultilevel"/>
    <w:tmpl w:val="654ECC8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1B56BB"/>
    <w:multiLevelType w:val="hybridMultilevel"/>
    <w:tmpl w:val="0854B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B079A"/>
    <w:multiLevelType w:val="hybridMultilevel"/>
    <w:tmpl w:val="C84CA704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A3490"/>
    <w:multiLevelType w:val="hybridMultilevel"/>
    <w:tmpl w:val="FEF0FE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75052"/>
    <w:multiLevelType w:val="hybridMultilevel"/>
    <w:tmpl w:val="2322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9D5B30"/>
    <w:multiLevelType w:val="hybridMultilevel"/>
    <w:tmpl w:val="10B8A000"/>
    <w:lvl w:ilvl="0" w:tplc="04020007">
      <w:start w:val="1"/>
      <w:numFmt w:val="bullet"/>
      <w:lvlText w:val=""/>
      <w:lvlPicBulletId w:val="0"/>
      <w:lvlJc w:val="left"/>
      <w:pPr>
        <w:ind w:left="137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40" w15:restartNumberingAfterBreak="0">
    <w:nsid w:val="79ED59EF"/>
    <w:multiLevelType w:val="hybridMultilevel"/>
    <w:tmpl w:val="8F9E3ABC"/>
    <w:lvl w:ilvl="0" w:tplc="0402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76BA7"/>
    <w:multiLevelType w:val="hybridMultilevel"/>
    <w:tmpl w:val="71228182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B1F1F6F"/>
    <w:multiLevelType w:val="hybridMultilevel"/>
    <w:tmpl w:val="BDFAC72A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7"/>
  </w:num>
  <w:num w:numId="3">
    <w:abstractNumId w:val="11"/>
  </w:num>
  <w:num w:numId="4">
    <w:abstractNumId w:val="19"/>
  </w:num>
  <w:num w:numId="5">
    <w:abstractNumId w:val="28"/>
  </w:num>
  <w:num w:numId="6">
    <w:abstractNumId w:val="37"/>
  </w:num>
  <w:num w:numId="7">
    <w:abstractNumId w:val="4"/>
  </w:num>
  <w:num w:numId="8">
    <w:abstractNumId w:val="12"/>
  </w:num>
  <w:num w:numId="9">
    <w:abstractNumId w:val="0"/>
  </w:num>
  <w:num w:numId="10">
    <w:abstractNumId w:val="25"/>
  </w:num>
  <w:num w:numId="11">
    <w:abstractNumId w:val="39"/>
  </w:num>
  <w:num w:numId="12">
    <w:abstractNumId w:val="27"/>
  </w:num>
  <w:num w:numId="13">
    <w:abstractNumId w:val="38"/>
  </w:num>
  <w:num w:numId="14">
    <w:abstractNumId w:val="34"/>
  </w:num>
  <w:num w:numId="15">
    <w:abstractNumId w:val="30"/>
  </w:num>
  <w:num w:numId="16">
    <w:abstractNumId w:val="14"/>
  </w:num>
  <w:num w:numId="17">
    <w:abstractNumId w:val="29"/>
  </w:num>
  <w:num w:numId="18">
    <w:abstractNumId w:val="40"/>
  </w:num>
  <w:num w:numId="19">
    <w:abstractNumId w:val="8"/>
  </w:num>
  <w:num w:numId="20">
    <w:abstractNumId w:val="31"/>
  </w:num>
  <w:num w:numId="21">
    <w:abstractNumId w:val="5"/>
  </w:num>
  <w:num w:numId="22">
    <w:abstractNumId w:val="1"/>
  </w:num>
  <w:num w:numId="23">
    <w:abstractNumId w:val="21"/>
  </w:num>
  <w:num w:numId="24">
    <w:abstractNumId w:val="41"/>
  </w:num>
  <w:num w:numId="25">
    <w:abstractNumId w:val="3"/>
  </w:num>
  <w:num w:numId="26">
    <w:abstractNumId w:val="10"/>
  </w:num>
  <w:num w:numId="27">
    <w:abstractNumId w:val="22"/>
  </w:num>
  <w:num w:numId="28">
    <w:abstractNumId w:val="33"/>
  </w:num>
  <w:num w:numId="29">
    <w:abstractNumId w:val="42"/>
  </w:num>
  <w:num w:numId="30">
    <w:abstractNumId w:val="9"/>
  </w:num>
  <w:num w:numId="31">
    <w:abstractNumId w:val="6"/>
  </w:num>
  <w:num w:numId="32">
    <w:abstractNumId w:val="2"/>
  </w:num>
  <w:num w:numId="33">
    <w:abstractNumId w:val="35"/>
  </w:num>
  <w:num w:numId="34">
    <w:abstractNumId w:val="24"/>
  </w:num>
  <w:num w:numId="35">
    <w:abstractNumId w:val="18"/>
  </w:num>
  <w:num w:numId="36">
    <w:abstractNumId w:val="23"/>
  </w:num>
  <w:num w:numId="37">
    <w:abstractNumId w:val="26"/>
  </w:num>
  <w:num w:numId="38">
    <w:abstractNumId w:val="7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13"/>
  </w:num>
  <w:num w:numId="42">
    <w:abstractNumId w:val="20"/>
  </w:num>
  <w:num w:numId="43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82"/>
    <w:rsid w:val="0000017C"/>
    <w:rsid w:val="0000105A"/>
    <w:rsid w:val="000021D3"/>
    <w:rsid w:val="0000405E"/>
    <w:rsid w:val="00012776"/>
    <w:rsid w:val="000139AD"/>
    <w:rsid w:val="000176A4"/>
    <w:rsid w:val="000233E0"/>
    <w:rsid w:val="00023BA0"/>
    <w:rsid w:val="000240E0"/>
    <w:rsid w:val="0003035E"/>
    <w:rsid w:val="000304E0"/>
    <w:rsid w:val="00032557"/>
    <w:rsid w:val="000362D3"/>
    <w:rsid w:val="000365B1"/>
    <w:rsid w:val="0004286F"/>
    <w:rsid w:val="00043B54"/>
    <w:rsid w:val="00043F73"/>
    <w:rsid w:val="000452D1"/>
    <w:rsid w:val="00047768"/>
    <w:rsid w:val="000519CF"/>
    <w:rsid w:val="00052F47"/>
    <w:rsid w:val="00054103"/>
    <w:rsid w:val="00054216"/>
    <w:rsid w:val="00054F7D"/>
    <w:rsid w:val="00055D08"/>
    <w:rsid w:val="00056D5B"/>
    <w:rsid w:val="000601FC"/>
    <w:rsid w:val="00061E89"/>
    <w:rsid w:val="0006563D"/>
    <w:rsid w:val="00066BFF"/>
    <w:rsid w:val="000708BA"/>
    <w:rsid w:val="00072343"/>
    <w:rsid w:val="00073B6F"/>
    <w:rsid w:val="00084057"/>
    <w:rsid w:val="0008441F"/>
    <w:rsid w:val="00085F97"/>
    <w:rsid w:val="00087238"/>
    <w:rsid w:val="00091C5B"/>
    <w:rsid w:val="00091D05"/>
    <w:rsid w:val="000965B9"/>
    <w:rsid w:val="000970F2"/>
    <w:rsid w:val="000A65BC"/>
    <w:rsid w:val="000A695A"/>
    <w:rsid w:val="000A6ABF"/>
    <w:rsid w:val="000A781F"/>
    <w:rsid w:val="000A7B90"/>
    <w:rsid w:val="000B033B"/>
    <w:rsid w:val="000B04B4"/>
    <w:rsid w:val="000B216F"/>
    <w:rsid w:val="000B2C4C"/>
    <w:rsid w:val="000B3639"/>
    <w:rsid w:val="000B4309"/>
    <w:rsid w:val="000B5B74"/>
    <w:rsid w:val="000B7C5A"/>
    <w:rsid w:val="000C0DD9"/>
    <w:rsid w:val="000C5353"/>
    <w:rsid w:val="000D135F"/>
    <w:rsid w:val="000D33E0"/>
    <w:rsid w:val="000E01DC"/>
    <w:rsid w:val="000E4D10"/>
    <w:rsid w:val="000E63BB"/>
    <w:rsid w:val="000F2611"/>
    <w:rsid w:val="000F5744"/>
    <w:rsid w:val="00101306"/>
    <w:rsid w:val="0010146B"/>
    <w:rsid w:val="0010180A"/>
    <w:rsid w:val="0010661C"/>
    <w:rsid w:val="001100CA"/>
    <w:rsid w:val="00110D76"/>
    <w:rsid w:val="001126A5"/>
    <w:rsid w:val="0011393C"/>
    <w:rsid w:val="00116F65"/>
    <w:rsid w:val="001210D8"/>
    <w:rsid w:val="001221E4"/>
    <w:rsid w:val="00122B72"/>
    <w:rsid w:val="00123287"/>
    <w:rsid w:val="00123D97"/>
    <w:rsid w:val="0013081C"/>
    <w:rsid w:val="00135D80"/>
    <w:rsid w:val="0014286A"/>
    <w:rsid w:val="00142E9A"/>
    <w:rsid w:val="001449AF"/>
    <w:rsid w:val="00150942"/>
    <w:rsid w:val="00151263"/>
    <w:rsid w:val="00151619"/>
    <w:rsid w:val="001548DD"/>
    <w:rsid w:val="00154F8C"/>
    <w:rsid w:val="0016112B"/>
    <w:rsid w:val="001614C7"/>
    <w:rsid w:val="00164DB5"/>
    <w:rsid w:val="00165269"/>
    <w:rsid w:val="00165E75"/>
    <w:rsid w:val="00167260"/>
    <w:rsid w:val="0017044D"/>
    <w:rsid w:val="00172A4F"/>
    <w:rsid w:val="00173F9F"/>
    <w:rsid w:val="0017720D"/>
    <w:rsid w:val="00180D88"/>
    <w:rsid w:val="00182B51"/>
    <w:rsid w:val="001838B5"/>
    <w:rsid w:val="00183BAD"/>
    <w:rsid w:val="00185239"/>
    <w:rsid w:val="001864D5"/>
    <w:rsid w:val="001922A1"/>
    <w:rsid w:val="001932A7"/>
    <w:rsid w:val="00194D6F"/>
    <w:rsid w:val="00197866"/>
    <w:rsid w:val="001A0C3A"/>
    <w:rsid w:val="001A1D9E"/>
    <w:rsid w:val="001A53D6"/>
    <w:rsid w:val="001A6EE1"/>
    <w:rsid w:val="001A7F8A"/>
    <w:rsid w:val="001B2124"/>
    <w:rsid w:val="001B36ED"/>
    <w:rsid w:val="001B3A55"/>
    <w:rsid w:val="001B4D1D"/>
    <w:rsid w:val="001B7376"/>
    <w:rsid w:val="001C0574"/>
    <w:rsid w:val="001C17B0"/>
    <w:rsid w:val="001C2298"/>
    <w:rsid w:val="001C4217"/>
    <w:rsid w:val="001C537A"/>
    <w:rsid w:val="001C546C"/>
    <w:rsid w:val="001C5543"/>
    <w:rsid w:val="001D092F"/>
    <w:rsid w:val="001D45BB"/>
    <w:rsid w:val="001E287C"/>
    <w:rsid w:val="001F3F83"/>
    <w:rsid w:val="001F782D"/>
    <w:rsid w:val="002036B3"/>
    <w:rsid w:val="002073C0"/>
    <w:rsid w:val="00211B4A"/>
    <w:rsid w:val="00213E0F"/>
    <w:rsid w:val="00215460"/>
    <w:rsid w:val="00217637"/>
    <w:rsid w:val="00220673"/>
    <w:rsid w:val="002228B7"/>
    <w:rsid w:val="002230E4"/>
    <w:rsid w:val="00223EEC"/>
    <w:rsid w:val="00226A5E"/>
    <w:rsid w:val="0022795D"/>
    <w:rsid w:val="00230093"/>
    <w:rsid w:val="0023039C"/>
    <w:rsid w:val="002321F7"/>
    <w:rsid w:val="00234D1E"/>
    <w:rsid w:val="00235BF0"/>
    <w:rsid w:val="00235FA0"/>
    <w:rsid w:val="002362A8"/>
    <w:rsid w:val="0023634C"/>
    <w:rsid w:val="00237363"/>
    <w:rsid w:val="00237470"/>
    <w:rsid w:val="00240246"/>
    <w:rsid w:val="00243286"/>
    <w:rsid w:val="00243D64"/>
    <w:rsid w:val="00244955"/>
    <w:rsid w:val="002454E4"/>
    <w:rsid w:val="00247832"/>
    <w:rsid w:val="0025034F"/>
    <w:rsid w:val="00251209"/>
    <w:rsid w:val="00252C12"/>
    <w:rsid w:val="00253134"/>
    <w:rsid w:val="002532ED"/>
    <w:rsid w:val="0025354B"/>
    <w:rsid w:val="00253F51"/>
    <w:rsid w:val="00256452"/>
    <w:rsid w:val="0025647B"/>
    <w:rsid w:val="00262E08"/>
    <w:rsid w:val="00267482"/>
    <w:rsid w:val="00271F21"/>
    <w:rsid w:val="00275C83"/>
    <w:rsid w:val="0027711B"/>
    <w:rsid w:val="00281129"/>
    <w:rsid w:val="002814EC"/>
    <w:rsid w:val="00285B6D"/>
    <w:rsid w:val="0028702A"/>
    <w:rsid w:val="00291B20"/>
    <w:rsid w:val="0029525B"/>
    <w:rsid w:val="002A1E8D"/>
    <w:rsid w:val="002A300F"/>
    <w:rsid w:val="002A4914"/>
    <w:rsid w:val="002A57F3"/>
    <w:rsid w:val="002A5BB3"/>
    <w:rsid w:val="002A65BD"/>
    <w:rsid w:val="002A6BCC"/>
    <w:rsid w:val="002A6D1B"/>
    <w:rsid w:val="002B07FF"/>
    <w:rsid w:val="002B28D2"/>
    <w:rsid w:val="002B375C"/>
    <w:rsid w:val="002B3B9B"/>
    <w:rsid w:val="002B649D"/>
    <w:rsid w:val="002B666B"/>
    <w:rsid w:val="002B6754"/>
    <w:rsid w:val="002B74EF"/>
    <w:rsid w:val="002C083C"/>
    <w:rsid w:val="002C090F"/>
    <w:rsid w:val="002C26B9"/>
    <w:rsid w:val="002C3993"/>
    <w:rsid w:val="002C42D6"/>
    <w:rsid w:val="002C50EB"/>
    <w:rsid w:val="002C6B77"/>
    <w:rsid w:val="002E3173"/>
    <w:rsid w:val="002E5CE5"/>
    <w:rsid w:val="002E6C0D"/>
    <w:rsid w:val="002E7484"/>
    <w:rsid w:val="002F026B"/>
    <w:rsid w:val="002F1A3A"/>
    <w:rsid w:val="002F2674"/>
    <w:rsid w:val="002F4DFE"/>
    <w:rsid w:val="002F5A10"/>
    <w:rsid w:val="00304095"/>
    <w:rsid w:val="0031263A"/>
    <w:rsid w:val="00322C98"/>
    <w:rsid w:val="003235E4"/>
    <w:rsid w:val="0032516B"/>
    <w:rsid w:val="0032547B"/>
    <w:rsid w:val="00327028"/>
    <w:rsid w:val="003278D1"/>
    <w:rsid w:val="00333BE4"/>
    <w:rsid w:val="003359A7"/>
    <w:rsid w:val="00337F71"/>
    <w:rsid w:val="003416F7"/>
    <w:rsid w:val="003434B8"/>
    <w:rsid w:val="003470CE"/>
    <w:rsid w:val="0035366E"/>
    <w:rsid w:val="003540DC"/>
    <w:rsid w:val="003578A7"/>
    <w:rsid w:val="003666DF"/>
    <w:rsid w:val="0036749C"/>
    <w:rsid w:val="00367E8E"/>
    <w:rsid w:val="00374217"/>
    <w:rsid w:val="00374E8A"/>
    <w:rsid w:val="003750B4"/>
    <w:rsid w:val="00375A42"/>
    <w:rsid w:val="00376271"/>
    <w:rsid w:val="00380C1C"/>
    <w:rsid w:val="00385262"/>
    <w:rsid w:val="003854B3"/>
    <w:rsid w:val="00391AC1"/>
    <w:rsid w:val="00392413"/>
    <w:rsid w:val="0039346F"/>
    <w:rsid w:val="00396D66"/>
    <w:rsid w:val="003A003C"/>
    <w:rsid w:val="003A06BE"/>
    <w:rsid w:val="003A3307"/>
    <w:rsid w:val="003A566D"/>
    <w:rsid w:val="003A616C"/>
    <w:rsid w:val="003A6F6B"/>
    <w:rsid w:val="003B614C"/>
    <w:rsid w:val="003B672A"/>
    <w:rsid w:val="003B6738"/>
    <w:rsid w:val="003C19B5"/>
    <w:rsid w:val="003C1CBE"/>
    <w:rsid w:val="003C3424"/>
    <w:rsid w:val="003C4E74"/>
    <w:rsid w:val="003C67A2"/>
    <w:rsid w:val="003E017E"/>
    <w:rsid w:val="003E5244"/>
    <w:rsid w:val="003E799B"/>
    <w:rsid w:val="003F0C75"/>
    <w:rsid w:val="003F0F7E"/>
    <w:rsid w:val="003F65D5"/>
    <w:rsid w:val="00400B29"/>
    <w:rsid w:val="00401ED3"/>
    <w:rsid w:val="004020A7"/>
    <w:rsid w:val="00406BE8"/>
    <w:rsid w:val="00410488"/>
    <w:rsid w:val="00410F7A"/>
    <w:rsid w:val="00412925"/>
    <w:rsid w:val="004134A4"/>
    <w:rsid w:val="00417326"/>
    <w:rsid w:val="004175FB"/>
    <w:rsid w:val="00422C07"/>
    <w:rsid w:val="00426BE5"/>
    <w:rsid w:val="00427DEA"/>
    <w:rsid w:val="00431CFE"/>
    <w:rsid w:val="00432A72"/>
    <w:rsid w:val="00433582"/>
    <w:rsid w:val="0043696F"/>
    <w:rsid w:val="0043795A"/>
    <w:rsid w:val="00442AB6"/>
    <w:rsid w:val="00445313"/>
    <w:rsid w:val="00450B3A"/>
    <w:rsid w:val="00452463"/>
    <w:rsid w:val="00452547"/>
    <w:rsid w:val="0045306D"/>
    <w:rsid w:val="00463166"/>
    <w:rsid w:val="004666F0"/>
    <w:rsid w:val="0046674C"/>
    <w:rsid w:val="004675E9"/>
    <w:rsid w:val="00470840"/>
    <w:rsid w:val="00470CFB"/>
    <w:rsid w:val="00470FE4"/>
    <w:rsid w:val="004718D8"/>
    <w:rsid w:val="0047537F"/>
    <w:rsid w:val="0048416C"/>
    <w:rsid w:val="004841E7"/>
    <w:rsid w:val="0048569E"/>
    <w:rsid w:val="00486511"/>
    <w:rsid w:val="00496E9C"/>
    <w:rsid w:val="004A39BD"/>
    <w:rsid w:val="004A3B66"/>
    <w:rsid w:val="004A4600"/>
    <w:rsid w:val="004B03F3"/>
    <w:rsid w:val="004B1A61"/>
    <w:rsid w:val="004B6D3B"/>
    <w:rsid w:val="004C0A49"/>
    <w:rsid w:val="004C28A7"/>
    <w:rsid w:val="004C3F48"/>
    <w:rsid w:val="004C55E9"/>
    <w:rsid w:val="004C79EF"/>
    <w:rsid w:val="004D0B54"/>
    <w:rsid w:val="004D1DE4"/>
    <w:rsid w:val="004D4CC6"/>
    <w:rsid w:val="004D60F5"/>
    <w:rsid w:val="004D612E"/>
    <w:rsid w:val="004E09C0"/>
    <w:rsid w:val="004F0F49"/>
    <w:rsid w:val="004F1527"/>
    <w:rsid w:val="004F1803"/>
    <w:rsid w:val="0050131E"/>
    <w:rsid w:val="0050218A"/>
    <w:rsid w:val="00502970"/>
    <w:rsid w:val="00507E5A"/>
    <w:rsid w:val="0051074C"/>
    <w:rsid w:val="00511568"/>
    <w:rsid w:val="00511F1F"/>
    <w:rsid w:val="00511FA9"/>
    <w:rsid w:val="005131C5"/>
    <w:rsid w:val="005152CF"/>
    <w:rsid w:val="00515562"/>
    <w:rsid w:val="00515804"/>
    <w:rsid w:val="00516131"/>
    <w:rsid w:val="0051757E"/>
    <w:rsid w:val="00520BAA"/>
    <w:rsid w:val="00520CF7"/>
    <w:rsid w:val="00534522"/>
    <w:rsid w:val="005348E4"/>
    <w:rsid w:val="005356BF"/>
    <w:rsid w:val="00537121"/>
    <w:rsid w:val="00540593"/>
    <w:rsid w:val="00541088"/>
    <w:rsid w:val="00541340"/>
    <w:rsid w:val="00541A69"/>
    <w:rsid w:val="00544842"/>
    <w:rsid w:val="00552DBD"/>
    <w:rsid w:val="00556985"/>
    <w:rsid w:val="00561373"/>
    <w:rsid w:val="0056189E"/>
    <w:rsid w:val="00563903"/>
    <w:rsid w:val="00564E74"/>
    <w:rsid w:val="005678F7"/>
    <w:rsid w:val="00567CD4"/>
    <w:rsid w:val="0057148D"/>
    <w:rsid w:val="0057153C"/>
    <w:rsid w:val="00574848"/>
    <w:rsid w:val="00575891"/>
    <w:rsid w:val="00580B6F"/>
    <w:rsid w:val="005822F9"/>
    <w:rsid w:val="00582B01"/>
    <w:rsid w:val="0058533E"/>
    <w:rsid w:val="00591440"/>
    <w:rsid w:val="005940F7"/>
    <w:rsid w:val="005A568E"/>
    <w:rsid w:val="005A7148"/>
    <w:rsid w:val="005A7420"/>
    <w:rsid w:val="005B17BE"/>
    <w:rsid w:val="005B4591"/>
    <w:rsid w:val="005B78CE"/>
    <w:rsid w:val="005C0D8E"/>
    <w:rsid w:val="005C4D2D"/>
    <w:rsid w:val="005C6563"/>
    <w:rsid w:val="005D098D"/>
    <w:rsid w:val="005D27F6"/>
    <w:rsid w:val="005E0977"/>
    <w:rsid w:val="005E266D"/>
    <w:rsid w:val="005E672A"/>
    <w:rsid w:val="005E678E"/>
    <w:rsid w:val="005F256E"/>
    <w:rsid w:val="005F4489"/>
    <w:rsid w:val="005F5519"/>
    <w:rsid w:val="005F71C8"/>
    <w:rsid w:val="006019B3"/>
    <w:rsid w:val="006057D4"/>
    <w:rsid w:val="00606922"/>
    <w:rsid w:val="00621647"/>
    <w:rsid w:val="0062268B"/>
    <w:rsid w:val="006275FE"/>
    <w:rsid w:val="006300BD"/>
    <w:rsid w:val="00630F38"/>
    <w:rsid w:val="006320BD"/>
    <w:rsid w:val="00633C75"/>
    <w:rsid w:val="00636F1F"/>
    <w:rsid w:val="00637376"/>
    <w:rsid w:val="006400BF"/>
    <w:rsid w:val="0064198F"/>
    <w:rsid w:val="00642CF6"/>
    <w:rsid w:val="00643080"/>
    <w:rsid w:val="006461DC"/>
    <w:rsid w:val="00655B96"/>
    <w:rsid w:val="00655DC9"/>
    <w:rsid w:val="0066133F"/>
    <w:rsid w:val="00662509"/>
    <w:rsid w:val="0066565F"/>
    <w:rsid w:val="00665F8D"/>
    <w:rsid w:val="00666FFA"/>
    <w:rsid w:val="0067250C"/>
    <w:rsid w:val="00672F2D"/>
    <w:rsid w:val="006749B3"/>
    <w:rsid w:val="006757D0"/>
    <w:rsid w:val="006762C0"/>
    <w:rsid w:val="00676E01"/>
    <w:rsid w:val="0068270F"/>
    <w:rsid w:val="00686C81"/>
    <w:rsid w:val="006872DB"/>
    <w:rsid w:val="006911D7"/>
    <w:rsid w:val="0069146C"/>
    <w:rsid w:val="00691BA7"/>
    <w:rsid w:val="00691D8E"/>
    <w:rsid w:val="00693914"/>
    <w:rsid w:val="0069587E"/>
    <w:rsid w:val="0069688F"/>
    <w:rsid w:val="00696C54"/>
    <w:rsid w:val="00697AB7"/>
    <w:rsid w:val="006A0201"/>
    <w:rsid w:val="006A4CE0"/>
    <w:rsid w:val="006A55FF"/>
    <w:rsid w:val="006A68BE"/>
    <w:rsid w:val="006B0497"/>
    <w:rsid w:val="006B08CE"/>
    <w:rsid w:val="006B17DF"/>
    <w:rsid w:val="006B2804"/>
    <w:rsid w:val="006B6219"/>
    <w:rsid w:val="006C3FFA"/>
    <w:rsid w:val="006D352C"/>
    <w:rsid w:val="006D4941"/>
    <w:rsid w:val="006D4DA8"/>
    <w:rsid w:val="006D63E0"/>
    <w:rsid w:val="006E150C"/>
    <w:rsid w:val="006E4C62"/>
    <w:rsid w:val="006E5BC5"/>
    <w:rsid w:val="006E607D"/>
    <w:rsid w:val="006F09B6"/>
    <w:rsid w:val="006F3B79"/>
    <w:rsid w:val="006F4BDD"/>
    <w:rsid w:val="006F6CB9"/>
    <w:rsid w:val="006F7139"/>
    <w:rsid w:val="006F79B2"/>
    <w:rsid w:val="00702CAF"/>
    <w:rsid w:val="00702D11"/>
    <w:rsid w:val="00702E3C"/>
    <w:rsid w:val="007032C9"/>
    <w:rsid w:val="00703B68"/>
    <w:rsid w:val="00705F9D"/>
    <w:rsid w:val="007102E5"/>
    <w:rsid w:val="007107D7"/>
    <w:rsid w:val="00713003"/>
    <w:rsid w:val="00716487"/>
    <w:rsid w:val="00717240"/>
    <w:rsid w:val="00720BC5"/>
    <w:rsid w:val="00720FCD"/>
    <w:rsid w:val="007222CD"/>
    <w:rsid w:val="00726A4C"/>
    <w:rsid w:val="007316CA"/>
    <w:rsid w:val="007336EF"/>
    <w:rsid w:val="00735775"/>
    <w:rsid w:val="00736C20"/>
    <w:rsid w:val="00740960"/>
    <w:rsid w:val="0074341C"/>
    <w:rsid w:val="00743E7C"/>
    <w:rsid w:val="00743FBC"/>
    <w:rsid w:val="0074484C"/>
    <w:rsid w:val="00752964"/>
    <w:rsid w:val="00757B63"/>
    <w:rsid w:val="00757C4B"/>
    <w:rsid w:val="00761082"/>
    <w:rsid w:val="007619D6"/>
    <w:rsid w:val="00762471"/>
    <w:rsid w:val="00763D81"/>
    <w:rsid w:val="007666F0"/>
    <w:rsid w:val="00766A3C"/>
    <w:rsid w:val="00766A55"/>
    <w:rsid w:val="007712E3"/>
    <w:rsid w:val="00772995"/>
    <w:rsid w:val="00772DA4"/>
    <w:rsid w:val="007730AD"/>
    <w:rsid w:val="007751B7"/>
    <w:rsid w:val="0077588B"/>
    <w:rsid w:val="00776FA1"/>
    <w:rsid w:val="0078010C"/>
    <w:rsid w:val="0078032C"/>
    <w:rsid w:val="00785182"/>
    <w:rsid w:val="00785A9D"/>
    <w:rsid w:val="00787C2B"/>
    <w:rsid w:val="00790809"/>
    <w:rsid w:val="0079436D"/>
    <w:rsid w:val="0079451B"/>
    <w:rsid w:val="007947E2"/>
    <w:rsid w:val="00795DF6"/>
    <w:rsid w:val="007A1827"/>
    <w:rsid w:val="007A4A59"/>
    <w:rsid w:val="007A5F51"/>
    <w:rsid w:val="007B0173"/>
    <w:rsid w:val="007B12F8"/>
    <w:rsid w:val="007B3AAF"/>
    <w:rsid w:val="007B4FF2"/>
    <w:rsid w:val="007B5668"/>
    <w:rsid w:val="007B5975"/>
    <w:rsid w:val="007C14BE"/>
    <w:rsid w:val="007C1983"/>
    <w:rsid w:val="007C628B"/>
    <w:rsid w:val="007C6C52"/>
    <w:rsid w:val="007C7654"/>
    <w:rsid w:val="007D492B"/>
    <w:rsid w:val="007E31AC"/>
    <w:rsid w:val="007E3664"/>
    <w:rsid w:val="007E59B3"/>
    <w:rsid w:val="007E7EC9"/>
    <w:rsid w:val="007F0F04"/>
    <w:rsid w:val="007F25D7"/>
    <w:rsid w:val="007F30F9"/>
    <w:rsid w:val="007F558D"/>
    <w:rsid w:val="007F563F"/>
    <w:rsid w:val="007F7033"/>
    <w:rsid w:val="007F7E3B"/>
    <w:rsid w:val="008029D8"/>
    <w:rsid w:val="00804EF0"/>
    <w:rsid w:val="00810D8C"/>
    <w:rsid w:val="0081186C"/>
    <w:rsid w:val="00814FE7"/>
    <w:rsid w:val="008165A0"/>
    <w:rsid w:val="00816646"/>
    <w:rsid w:val="008230B7"/>
    <w:rsid w:val="00823C88"/>
    <w:rsid w:val="0084523E"/>
    <w:rsid w:val="008459A5"/>
    <w:rsid w:val="008460C6"/>
    <w:rsid w:val="00861974"/>
    <w:rsid w:val="0086280F"/>
    <w:rsid w:val="00873619"/>
    <w:rsid w:val="008742D1"/>
    <w:rsid w:val="00875702"/>
    <w:rsid w:val="00882989"/>
    <w:rsid w:val="00882FB1"/>
    <w:rsid w:val="008868A5"/>
    <w:rsid w:val="00886C33"/>
    <w:rsid w:val="008877C0"/>
    <w:rsid w:val="00894307"/>
    <w:rsid w:val="008949EF"/>
    <w:rsid w:val="00895E80"/>
    <w:rsid w:val="00897431"/>
    <w:rsid w:val="008A05CD"/>
    <w:rsid w:val="008A1754"/>
    <w:rsid w:val="008A3050"/>
    <w:rsid w:val="008A362A"/>
    <w:rsid w:val="008A49C6"/>
    <w:rsid w:val="008A7609"/>
    <w:rsid w:val="008B07FF"/>
    <w:rsid w:val="008B56FC"/>
    <w:rsid w:val="008B5D46"/>
    <w:rsid w:val="008C4D1B"/>
    <w:rsid w:val="008C5E7F"/>
    <w:rsid w:val="008C6ACD"/>
    <w:rsid w:val="008D02A1"/>
    <w:rsid w:val="008D190C"/>
    <w:rsid w:val="008D1DE1"/>
    <w:rsid w:val="008E2A6F"/>
    <w:rsid w:val="008E3625"/>
    <w:rsid w:val="008E400C"/>
    <w:rsid w:val="008E448A"/>
    <w:rsid w:val="008F0C43"/>
    <w:rsid w:val="008F3A39"/>
    <w:rsid w:val="008F592C"/>
    <w:rsid w:val="008F7036"/>
    <w:rsid w:val="00900B28"/>
    <w:rsid w:val="009032DF"/>
    <w:rsid w:val="009057FC"/>
    <w:rsid w:val="00905CBE"/>
    <w:rsid w:val="00912442"/>
    <w:rsid w:val="009175DB"/>
    <w:rsid w:val="00917925"/>
    <w:rsid w:val="0091796E"/>
    <w:rsid w:val="00917D80"/>
    <w:rsid w:val="00920492"/>
    <w:rsid w:val="00923F01"/>
    <w:rsid w:val="009260F9"/>
    <w:rsid w:val="00931565"/>
    <w:rsid w:val="009325B0"/>
    <w:rsid w:val="009335B8"/>
    <w:rsid w:val="00935D3B"/>
    <w:rsid w:val="00937528"/>
    <w:rsid w:val="00940871"/>
    <w:rsid w:val="0094177E"/>
    <w:rsid w:val="009426EA"/>
    <w:rsid w:val="0094769F"/>
    <w:rsid w:val="0095391D"/>
    <w:rsid w:val="009539E2"/>
    <w:rsid w:val="009545EE"/>
    <w:rsid w:val="00955B2D"/>
    <w:rsid w:val="00962072"/>
    <w:rsid w:val="00963762"/>
    <w:rsid w:val="00967552"/>
    <w:rsid w:val="0097003A"/>
    <w:rsid w:val="00972232"/>
    <w:rsid w:val="009754CB"/>
    <w:rsid w:val="00975C23"/>
    <w:rsid w:val="009827DF"/>
    <w:rsid w:val="00982FAF"/>
    <w:rsid w:val="00983909"/>
    <w:rsid w:val="00983AD9"/>
    <w:rsid w:val="00983F3E"/>
    <w:rsid w:val="00985617"/>
    <w:rsid w:val="00992768"/>
    <w:rsid w:val="00993F0E"/>
    <w:rsid w:val="00994CC6"/>
    <w:rsid w:val="00997364"/>
    <w:rsid w:val="009A0A4F"/>
    <w:rsid w:val="009A1D78"/>
    <w:rsid w:val="009A642D"/>
    <w:rsid w:val="009A6903"/>
    <w:rsid w:val="009A7122"/>
    <w:rsid w:val="009B1FAA"/>
    <w:rsid w:val="009B4416"/>
    <w:rsid w:val="009B5E26"/>
    <w:rsid w:val="009C253B"/>
    <w:rsid w:val="009C2C84"/>
    <w:rsid w:val="009C3F33"/>
    <w:rsid w:val="009C657E"/>
    <w:rsid w:val="009D0BE9"/>
    <w:rsid w:val="009D187E"/>
    <w:rsid w:val="009D3556"/>
    <w:rsid w:val="009D6D90"/>
    <w:rsid w:val="009E2262"/>
    <w:rsid w:val="009E5993"/>
    <w:rsid w:val="009F0F90"/>
    <w:rsid w:val="009F129C"/>
    <w:rsid w:val="009F1D3C"/>
    <w:rsid w:val="009F5038"/>
    <w:rsid w:val="00A00E23"/>
    <w:rsid w:val="00A03EB7"/>
    <w:rsid w:val="00A03F28"/>
    <w:rsid w:val="00A0690D"/>
    <w:rsid w:val="00A0726A"/>
    <w:rsid w:val="00A07358"/>
    <w:rsid w:val="00A074B1"/>
    <w:rsid w:val="00A10F5E"/>
    <w:rsid w:val="00A12862"/>
    <w:rsid w:val="00A140D4"/>
    <w:rsid w:val="00A14899"/>
    <w:rsid w:val="00A20F9D"/>
    <w:rsid w:val="00A21989"/>
    <w:rsid w:val="00A224C6"/>
    <w:rsid w:val="00A22C5F"/>
    <w:rsid w:val="00A23208"/>
    <w:rsid w:val="00A34A1D"/>
    <w:rsid w:val="00A366D5"/>
    <w:rsid w:val="00A36D5C"/>
    <w:rsid w:val="00A40543"/>
    <w:rsid w:val="00A4090D"/>
    <w:rsid w:val="00A41536"/>
    <w:rsid w:val="00A42474"/>
    <w:rsid w:val="00A43B3F"/>
    <w:rsid w:val="00A5027A"/>
    <w:rsid w:val="00A5052F"/>
    <w:rsid w:val="00A51672"/>
    <w:rsid w:val="00A5340E"/>
    <w:rsid w:val="00A60F8C"/>
    <w:rsid w:val="00A627B7"/>
    <w:rsid w:val="00A63860"/>
    <w:rsid w:val="00A6392C"/>
    <w:rsid w:val="00A66925"/>
    <w:rsid w:val="00A76D9A"/>
    <w:rsid w:val="00A81DD4"/>
    <w:rsid w:val="00A831DC"/>
    <w:rsid w:val="00A841DE"/>
    <w:rsid w:val="00A859C0"/>
    <w:rsid w:val="00A87B5F"/>
    <w:rsid w:val="00A90BEE"/>
    <w:rsid w:val="00A96149"/>
    <w:rsid w:val="00A967E8"/>
    <w:rsid w:val="00A97FFD"/>
    <w:rsid w:val="00AA08F4"/>
    <w:rsid w:val="00AA3D23"/>
    <w:rsid w:val="00AA3F78"/>
    <w:rsid w:val="00AA44BB"/>
    <w:rsid w:val="00AA7769"/>
    <w:rsid w:val="00AB093E"/>
    <w:rsid w:val="00AB2A11"/>
    <w:rsid w:val="00AB41FA"/>
    <w:rsid w:val="00AB635F"/>
    <w:rsid w:val="00AC026D"/>
    <w:rsid w:val="00AC08AF"/>
    <w:rsid w:val="00AC173C"/>
    <w:rsid w:val="00AC1855"/>
    <w:rsid w:val="00AC3832"/>
    <w:rsid w:val="00AC6CBE"/>
    <w:rsid w:val="00AC76A7"/>
    <w:rsid w:val="00AD005B"/>
    <w:rsid w:val="00AD395E"/>
    <w:rsid w:val="00AD39EC"/>
    <w:rsid w:val="00AD3BB2"/>
    <w:rsid w:val="00AD4CE7"/>
    <w:rsid w:val="00AD66E3"/>
    <w:rsid w:val="00AD6F15"/>
    <w:rsid w:val="00AE0B4B"/>
    <w:rsid w:val="00AE0FF1"/>
    <w:rsid w:val="00AE1904"/>
    <w:rsid w:val="00AE1CE7"/>
    <w:rsid w:val="00AE32B6"/>
    <w:rsid w:val="00AE53E5"/>
    <w:rsid w:val="00AF045C"/>
    <w:rsid w:val="00AF3D74"/>
    <w:rsid w:val="00AF6C03"/>
    <w:rsid w:val="00B001E1"/>
    <w:rsid w:val="00B00A03"/>
    <w:rsid w:val="00B049CB"/>
    <w:rsid w:val="00B06349"/>
    <w:rsid w:val="00B12946"/>
    <w:rsid w:val="00B156AF"/>
    <w:rsid w:val="00B169A3"/>
    <w:rsid w:val="00B170ED"/>
    <w:rsid w:val="00B1737C"/>
    <w:rsid w:val="00B20F7E"/>
    <w:rsid w:val="00B21DCE"/>
    <w:rsid w:val="00B250C9"/>
    <w:rsid w:val="00B26936"/>
    <w:rsid w:val="00B27A7C"/>
    <w:rsid w:val="00B31BF7"/>
    <w:rsid w:val="00B33CE5"/>
    <w:rsid w:val="00B34E8A"/>
    <w:rsid w:val="00B36E04"/>
    <w:rsid w:val="00B445C0"/>
    <w:rsid w:val="00B45C3A"/>
    <w:rsid w:val="00B54878"/>
    <w:rsid w:val="00B54FE4"/>
    <w:rsid w:val="00B56957"/>
    <w:rsid w:val="00B57201"/>
    <w:rsid w:val="00B57C85"/>
    <w:rsid w:val="00B6166D"/>
    <w:rsid w:val="00B6449F"/>
    <w:rsid w:val="00B65D8C"/>
    <w:rsid w:val="00B708DD"/>
    <w:rsid w:val="00B7195F"/>
    <w:rsid w:val="00B7226A"/>
    <w:rsid w:val="00B753FD"/>
    <w:rsid w:val="00B75E54"/>
    <w:rsid w:val="00B76E7D"/>
    <w:rsid w:val="00B76FD3"/>
    <w:rsid w:val="00B77C46"/>
    <w:rsid w:val="00B80BDF"/>
    <w:rsid w:val="00B80FC0"/>
    <w:rsid w:val="00B84556"/>
    <w:rsid w:val="00B84A54"/>
    <w:rsid w:val="00B922B7"/>
    <w:rsid w:val="00B935FE"/>
    <w:rsid w:val="00B9513D"/>
    <w:rsid w:val="00B97A2F"/>
    <w:rsid w:val="00BA0712"/>
    <w:rsid w:val="00BA1389"/>
    <w:rsid w:val="00BA1456"/>
    <w:rsid w:val="00BA6E7F"/>
    <w:rsid w:val="00BB0AF0"/>
    <w:rsid w:val="00BB2C05"/>
    <w:rsid w:val="00BB3701"/>
    <w:rsid w:val="00BB4952"/>
    <w:rsid w:val="00BB728A"/>
    <w:rsid w:val="00BC03E2"/>
    <w:rsid w:val="00BC2333"/>
    <w:rsid w:val="00BC270F"/>
    <w:rsid w:val="00BC71D6"/>
    <w:rsid w:val="00BD1ACE"/>
    <w:rsid w:val="00BD3D7A"/>
    <w:rsid w:val="00BD4DA0"/>
    <w:rsid w:val="00BD5E41"/>
    <w:rsid w:val="00BD7693"/>
    <w:rsid w:val="00BD7EB3"/>
    <w:rsid w:val="00BE43AF"/>
    <w:rsid w:val="00BE6F44"/>
    <w:rsid w:val="00BE7F3A"/>
    <w:rsid w:val="00BF0F15"/>
    <w:rsid w:val="00BF163D"/>
    <w:rsid w:val="00BF1D92"/>
    <w:rsid w:val="00BF5FDB"/>
    <w:rsid w:val="00C00BC4"/>
    <w:rsid w:val="00C00BF9"/>
    <w:rsid w:val="00C01765"/>
    <w:rsid w:val="00C0197A"/>
    <w:rsid w:val="00C031A7"/>
    <w:rsid w:val="00C04715"/>
    <w:rsid w:val="00C04D02"/>
    <w:rsid w:val="00C109EA"/>
    <w:rsid w:val="00C121BF"/>
    <w:rsid w:val="00C15E44"/>
    <w:rsid w:val="00C17AD5"/>
    <w:rsid w:val="00C203CA"/>
    <w:rsid w:val="00C22564"/>
    <w:rsid w:val="00C2343F"/>
    <w:rsid w:val="00C26D37"/>
    <w:rsid w:val="00C30586"/>
    <w:rsid w:val="00C30B3E"/>
    <w:rsid w:val="00C30F44"/>
    <w:rsid w:val="00C3178A"/>
    <w:rsid w:val="00C32E0A"/>
    <w:rsid w:val="00C333AF"/>
    <w:rsid w:val="00C35316"/>
    <w:rsid w:val="00C37617"/>
    <w:rsid w:val="00C41922"/>
    <w:rsid w:val="00C42BB4"/>
    <w:rsid w:val="00C460C8"/>
    <w:rsid w:val="00C50D8B"/>
    <w:rsid w:val="00C51227"/>
    <w:rsid w:val="00C52CC0"/>
    <w:rsid w:val="00C533B8"/>
    <w:rsid w:val="00C622A7"/>
    <w:rsid w:val="00C626ED"/>
    <w:rsid w:val="00C6293C"/>
    <w:rsid w:val="00C64266"/>
    <w:rsid w:val="00C70790"/>
    <w:rsid w:val="00C711CD"/>
    <w:rsid w:val="00C7298A"/>
    <w:rsid w:val="00C7643F"/>
    <w:rsid w:val="00C7687E"/>
    <w:rsid w:val="00C80F57"/>
    <w:rsid w:val="00C81A91"/>
    <w:rsid w:val="00C91432"/>
    <w:rsid w:val="00C917AB"/>
    <w:rsid w:val="00C91B19"/>
    <w:rsid w:val="00C94E82"/>
    <w:rsid w:val="00C964DD"/>
    <w:rsid w:val="00CA0561"/>
    <w:rsid w:val="00CA0A22"/>
    <w:rsid w:val="00CA18AD"/>
    <w:rsid w:val="00CA2B5A"/>
    <w:rsid w:val="00CA31EA"/>
    <w:rsid w:val="00CA59A3"/>
    <w:rsid w:val="00CA654D"/>
    <w:rsid w:val="00CB1305"/>
    <w:rsid w:val="00CB20BB"/>
    <w:rsid w:val="00CB2B49"/>
    <w:rsid w:val="00CC2385"/>
    <w:rsid w:val="00CC627F"/>
    <w:rsid w:val="00CC762A"/>
    <w:rsid w:val="00CD1398"/>
    <w:rsid w:val="00CD144D"/>
    <w:rsid w:val="00CD19BF"/>
    <w:rsid w:val="00CD34EA"/>
    <w:rsid w:val="00CD5956"/>
    <w:rsid w:val="00CD681F"/>
    <w:rsid w:val="00CE1340"/>
    <w:rsid w:val="00CE6D5B"/>
    <w:rsid w:val="00CF1FA2"/>
    <w:rsid w:val="00CF77E0"/>
    <w:rsid w:val="00D000A3"/>
    <w:rsid w:val="00D028AB"/>
    <w:rsid w:val="00D05E3F"/>
    <w:rsid w:val="00D15DF0"/>
    <w:rsid w:val="00D1605B"/>
    <w:rsid w:val="00D17425"/>
    <w:rsid w:val="00D217AD"/>
    <w:rsid w:val="00D25DEE"/>
    <w:rsid w:val="00D313EF"/>
    <w:rsid w:val="00D31492"/>
    <w:rsid w:val="00D32FFA"/>
    <w:rsid w:val="00D33374"/>
    <w:rsid w:val="00D35797"/>
    <w:rsid w:val="00D367E3"/>
    <w:rsid w:val="00D443FF"/>
    <w:rsid w:val="00D45C74"/>
    <w:rsid w:val="00D468E4"/>
    <w:rsid w:val="00D50170"/>
    <w:rsid w:val="00D51E1F"/>
    <w:rsid w:val="00D5342F"/>
    <w:rsid w:val="00D545AA"/>
    <w:rsid w:val="00D550D4"/>
    <w:rsid w:val="00D57CF1"/>
    <w:rsid w:val="00D6230D"/>
    <w:rsid w:val="00D65BB5"/>
    <w:rsid w:val="00D712E6"/>
    <w:rsid w:val="00D7312D"/>
    <w:rsid w:val="00D7367F"/>
    <w:rsid w:val="00D77DD9"/>
    <w:rsid w:val="00D80E24"/>
    <w:rsid w:val="00D81952"/>
    <w:rsid w:val="00D81B5F"/>
    <w:rsid w:val="00D829C7"/>
    <w:rsid w:val="00D85A74"/>
    <w:rsid w:val="00D862DB"/>
    <w:rsid w:val="00D87781"/>
    <w:rsid w:val="00D91502"/>
    <w:rsid w:val="00D952B7"/>
    <w:rsid w:val="00D96AB9"/>
    <w:rsid w:val="00D96ADC"/>
    <w:rsid w:val="00D97413"/>
    <w:rsid w:val="00DA00F7"/>
    <w:rsid w:val="00DA07DA"/>
    <w:rsid w:val="00DA0A1C"/>
    <w:rsid w:val="00DA1113"/>
    <w:rsid w:val="00DA2B83"/>
    <w:rsid w:val="00DA3251"/>
    <w:rsid w:val="00DA4EA5"/>
    <w:rsid w:val="00DB18C9"/>
    <w:rsid w:val="00DB4B39"/>
    <w:rsid w:val="00DB585F"/>
    <w:rsid w:val="00DC334E"/>
    <w:rsid w:val="00DC368C"/>
    <w:rsid w:val="00DC508E"/>
    <w:rsid w:val="00DC5153"/>
    <w:rsid w:val="00DC60D3"/>
    <w:rsid w:val="00DC7BF8"/>
    <w:rsid w:val="00DD2ABE"/>
    <w:rsid w:val="00DD41B0"/>
    <w:rsid w:val="00DD5C1B"/>
    <w:rsid w:val="00DE0418"/>
    <w:rsid w:val="00DE225F"/>
    <w:rsid w:val="00DE4E7C"/>
    <w:rsid w:val="00DE56E2"/>
    <w:rsid w:val="00DE58B4"/>
    <w:rsid w:val="00DE5A77"/>
    <w:rsid w:val="00DF26B8"/>
    <w:rsid w:val="00DF37DD"/>
    <w:rsid w:val="00DF3CEF"/>
    <w:rsid w:val="00DF5BDF"/>
    <w:rsid w:val="00E02272"/>
    <w:rsid w:val="00E040C0"/>
    <w:rsid w:val="00E0454A"/>
    <w:rsid w:val="00E106CB"/>
    <w:rsid w:val="00E151DD"/>
    <w:rsid w:val="00E156ED"/>
    <w:rsid w:val="00E21187"/>
    <w:rsid w:val="00E22C8B"/>
    <w:rsid w:val="00E23288"/>
    <w:rsid w:val="00E24D0A"/>
    <w:rsid w:val="00E2563B"/>
    <w:rsid w:val="00E276A3"/>
    <w:rsid w:val="00E34AB2"/>
    <w:rsid w:val="00E37807"/>
    <w:rsid w:val="00E42DF3"/>
    <w:rsid w:val="00E45996"/>
    <w:rsid w:val="00E45B9C"/>
    <w:rsid w:val="00E463A7"/>
    <w:rsid w:val="00E46DE0"/>
    <w:rsid w:val="00E50F6E"/>
    <w:rsid w:val="00E54819"/>
    <w:rsid w:val="00E54C16"/>
    <w:rsid w:val="00E56402"/>
    <w:rsid w:val="00E56428"/>
    <w:rsid w:val="00E629DA"/>
    <w:rsid w:val="00E62EF0"/>
    <w:rsid w:val="00E70290"/>
    <w:rsid w:val="00E7566B"/>
    <w:rsid w:val="00E856E6"/>
    <w:rsid w:val="00E96396"/>
    <w:rsid w:val="00E969FC"/>
    <w:rsid w:val="00EB3B03"/>
    <w:rsid w:val="00EB47F4"/>
    <w:rsid w:val="00EC4D24"/>
    <w:rsid w:val="00EC4D4E"/>
    <w:rsid w:val="00EC7471"/>
    <w:rsid w:val="00ED3C0F"/>
    <w:rsid w:val="00ED46CF"/>
    <w:rsid w:val="00ED6FBD"/>
    <w:rsid w:val="00ED6FE2"/>
    <w:rsid w:val="00EE25A9"/>
    <w:rsid w:val="00EE5521"/>
    <w:rsid w:val="00EE699D"/>
    <w:rsid w:val="00EF2F47"/>
    <w:rsid w:val="00EF406A"/>
    <w:rsid w:val="00EF6357"/>
    <w:rsid w:val="00F00FDA"/>
    <w:rsid w:val="00F0213E"/>
    <w:rsid w:val="00F02908"/>
    <w:rsid w:val="00F0342C"/>
    <w:rsid w:val="00F059C4"/>
    <w:rsid w:val="00F05C20"/>
    <w:rsid w:val="00F05C2B"/>
    <w:rsid w:val="00F11EA6"/>
    <w:rsid w:val="00F1412C"/>
    <w:rsid w:val="00F14F23"/>
    <w:rsid w:val="00F168CE"/>
    <w:rsid w:val="00F17BC4"/>
    <w:rsid w:val="00F22561"/>
    <w:rsid w:val="00F25EA9"/>
    <w:rsid w:val="00F265BF"/>
    <w:rsid w:val="00F266DB"/>
    <w:rsid w:val="00F26E22"/>
    <w:rsid w:val="00F27A0B"/>
    <w:rsid w:val="00F358E4"/>
    <w:rsid w:val="00F3608A"/>
    <w:rsid w:val="00F41360"/>
    <w:rsid w:val="00F42448"/>
    <w:rsid w:val="00F42F0B"/>
    <w:rsid w:val="00F44EF2"/>
    <w:rsid w:val="00F51028"/>
    <w:rsid w:val="00F56F1D"/>
    <w:rsid w:val="00F613C4"/>
    <w:rsid w:val="00F63A3A"/>
    <w:rsid w:val="00F65808"/>
    <w:rsid w:val="00F67809"/>
    <w:rsid w:val="00F705CE"/>
    <w:rsid w:val="00F72DF7"/>
    <w:rsid w:val="00F74A88"/>
    <w:rsid w:val="00F752F2"/>
    <w:rsid w:val="00F813E0"/>
    <w:rsid w:val="00F83BBB"/>
    <w:rsid w:val="00F84EAF"/>
    <w:rsid w:val="00F9027A"/>
    <w:rsid w:val="00F904AE"/>
    <w:rsid w:val="00F94D94"/>
    <w:rsid w:val="00F95E2C"/>
    <w:rsid w:val="00FA1A9A"/>
    <w:rsid w:val="00FA2458"/>
    <w:rsid w:val="00FA2E33"/>
    <w:rsid w:val="00FA3139"/>
    <w:rsid w:val="00FA404B"/>
    <w:rsid w:val="00FA5525"/>
    <w:rsid w:val="00FA67F4"/>
    <w:rsid w:val="00FB0A29"/>
    <w:rsid w:val="00FB568B"/>
    <w:rsid w:val="00FB714C"/>
    <w:rsid w:val="00FC0A32"/>
    <w:rsid w:val="00FC2B76"/>
    <w:rsid w:val="00FC7614"/>
    <w:rsid w:val="00FD14FE"/>
    <w:rsid w:val="00FD505A"/>
    <w:rsid w:val="00FE0B47"/>
    <w:rsid w:val="00FE1F12"/>
    <w:rsid w:val="00FE359A"/>
    <w:rsid w:val="00FE3897"/>
    <w:rsid w:val="00FE6955"/>
    <w:rsid w:val="00FF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F25CD"/>
  <w15:docId w15:val="{1C706B5D-8DB1-4838-ACC2-745977A3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30093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230093"/>
    <w:rPr>
      <w:rFonts w:ascii="Times New Roman" w:eastAsia="Times New Roman" w:hAnsi="Times New Roman" w:cs="Times New Roman"/>
      <w:b/>
      <w:caps/>
      <w:sz w:val="24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0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5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BDF"/>
  </w:style>
  <w:style w:type="paragraph" w:styleId="Footer">
    <w:name w:val="footer"/>
    <w:basedOn w:val="Normal"/>
    <w:link w:val="FooterChar"/>
    <w:uiPriority w:val="99"/>
    <w:rsid w:val="00DF5B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DF5BDF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DF5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B75E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5E54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B8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75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0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AC3832"/>
    <w:pPr>
      <w:spacing w:before="120" w:after="120"/>
      <w:ind w:firstLine="360"/>
      <w:jc w:val="both"/>
    </w:pPr>
    <w:rPr>
      <w:rFonts w:ascii="Times New Roman" w:hAnsi="Times New Roman" w:cs="Times New Roman"/>
      <w:i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C3832"/>
    <w:rPr>
      <w:rFonts w:ascii="Times New Roman" w:hAnsi="Times New Roman" w:cs="Times New Roman"/>
      <w:i/>
    </w:rPr>
  </w:style>
  <w:style w:type="paragraph" w:styleId="FootnoteText">
    <w:name w:val="footnote text"/>
    <w:aliases w:val="Fußnotentext arial,Footnote Text Char Char Char Char,Footnote Text Char Char Char,single space, Car Car,stile 1,Footnote1,Footnote2,Footnote3,Footnote4,Footnote5,Footnote6,Footnote7,Footnote8,Footnote9,Footnote10,Footnote11,Footnote21,fn"/>
    <w:basedOn w:val="Normal"/>
    <w:link w:val="FootnoteTextChar"/>
    <w:unhideWhenUsed/>
    <w:rsid w:val="002B07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ntext arial Char,Footnote Text Char Char Char Char Char,Footnote Text Char Char Char Char1,single space Char, Car Car Char,stile 1 Char,Footnote1 Char,Footnote2 Char,Footnote3 Char,Footnote4 Char,Footnote5 Char,Footnote6 Char"/>
    <w:basedOn w:val="DefaultParagraphFont"/>
    <w:link w:val="FootnoteText"/>
    <w:rsid w:val="002B07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07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41sk4Wis3dNWUOGU2+4bzosMKM4jwExqTDWFxWoT9gk=</DigestValue>
    </Reference>
    <Reference Type="http://www.w3.org/2000/09/xmldsig#Object" URI="#idOfficeObject">
      <DigestMethod Algorithm="http://www.w3.org/2001/04/xmlenc#sha256"/>
      <DigestValue>164VngygVvSZnAG+A4YCMVDMUy03p4oXaEdxAXg99AQ=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lirZCN0g25Pi8bGif3xNkUaOcio8x6igA1UrNPsQeU0=</DigestValue>
    </Reference>
  </SignedInfo>
  <SignatureValue>jWTdVGRslMadAMUfIvGn3gf0A9IrVUe+gt+1RuADhXPdIoGp8WQSGfIEBfJzeSDpY8ZB7Nrb/g26
EQSdWweourJoEsVDqBvKudu3xJLmU5UkFOmvfkNrJzr+6F719Wid8R5T6enArbaK9HUM8p/MLqD3
VLitG+r4Tsl6ygj48PkutjVA+CF6y6FNTjswVog5ByPLfbG1zRyoOSSPPFeUxFEUoIH4pCvBCG2n
o1T0HsyRpucJWXvjNF24UfeyUzdfJyoK7/7sijxDqhh+8s1Qkw6TZttebmXtxvr+fXgxg4iuK8x4
L+Uuuq9Ss9CfuRmRpLhRNmNAaswQThXE7jWceA==</SignatureValue>
  <KeyInfo>
    <X509Data>
      <X509Certificate>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7Qe97yefAR7pAReMjYVWh/g2o3wukLUbGM6r8bNNmGI=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Pnj5XsRhdgF7uR+rJJZe77a5InmO8dwjV/watFSBFx4=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sa4ZnsUbMM+jnXqoG77DZIyy3pOd6qAzcyqrQ5T2B8Q=</DigestValue>
      </Reference>
      <Reference URI="/word/document.xml?ContentType=application/vnd.openxmlformats-officedocument.wordprocessingml.document.main+xml">
        <DigestMethod Algorithm="http://www.w3.org/2001/04/xmlenc#sha256"/>
        <DigestValue>LOsAGm4tF/w/l7H48+neKwJxMhIOePbIVWoorFWs3pw=</DigestValue>
      </Reference>
      <Reference URI="/word/endnotes.xml?ContentType=application/vnd.openxmlformats-officedocument.wordprocessingml.endnotes+xml">
        <DigestMethod Algorithm="http://www.w3.org/2001/04/xmlenc#sha256"/>
        <DigestValue>IE0jtMWzulpPDwOu27hTORKPIlSsMljndti9vXNkGXY=</DigestValue>
      </Reference>
      <Reference URI="/word/fontTable.xml?ContentType=application/vnd.openxmlformats-officedocument.wordprocessingml.fontTable+xml">
        <DigestMethod Algorithm="http://www.w3.org/2001/04/xmlenc#sha256"/>
        <DigestValue>2d2KI5G+g0EmrSFh8WAPjsnAEC9cQDuQcGpocDsmRbA=</DigestValue>
      </Reference>
      <Reference URI="/word/footer1.xml?ContentType=application/vnd.openxmlformats-officedocument.wordprocessingml.footer+xml">
        <DigestMethod Algorithm="http://www.w3.org/2001/04/xmlenc#sha256"/>
        <DigestValue>gcnK6k5XA1d+aY8ju0+/DEOP+BmThfXqOHqz6kYASzo=</DigestValue>
      </Reference>
      <Reference URI="/word/footnotes.xml?ContentType=application/vnd.openxmlformats-officedocument.wordprocessingml.footnotes+xml">
        <DigestMethod Algorithm="http://www.w3.org/2001/04/xmlenc#sha256"/>
        <DigestValue>IY0AVIU9mmf4B2Y2fVO09i6IsizgMyw/J1dD44Gewys=</DigestValue>
      </Reference>
      <Reference URI="/word/header1.xml?ContentType=application/vnd.openxmlformats-officedocument.wordprocessingml.header+xml">
        <DigestMethod Algorithm="http://www.w3.org/2001/04/xmlenc#sha256"/>
        <DigestValue>wO/L7oeCwcqRZ48YBYDM7DIzst5rv4bBFBidXgIRCpw=</DigestValue>
      </Reference>
      <Reference URI="/word/header2.xml?ContentType=application/vnd.openxmlformats-officedocument.wordprocessingml.header+xml">
        <DigestMethod Algorithm="http://www.w3.org/2001/04/xmlenc#sha256"/>
        <DigestValue>FQT0wPJ4SzXlwz1jhUym4WGRIfVWvfbzlxzw0HSqJvg=</DigestValue>
      </Reference>
      <Reference URI="/word/media/image1.gif?ContentType=image/gif">
        <DigestMethod Algorithm="http://www.w3.org/2001/04/xmlenc#sha256"/>
        <DigestValue>A5/nm3Tm09Vh4y1K9XDmynDba7Nxg5W+K/J4ueYBJ5o=</DigestValue>
      </Reference>
      <Reference URI="/word/media/image2.emf?ContentType=image/x-emf">
        <DigestMethod Algorithm="http://www.w3.org/2001/04/xmlenc#sha256"/>
        <DigestValue>FOmzsnka6l5h1Ht2yyFGGyFz/fsze+pVANzxUDIQQUc=</DigestValue>
      </Reference>
      <Reference URI="/word/numbering.xml?ContentType=application/vnd.openxmlformats-officedocument.wordprocessingml.numbering+xml">
        <DigestMethod Algorithm="http://www.w3.org/2001/04/xmlenc#sha256"/>
        <DigestValue>pNlfcbS5VG729KnLxdH4ApBtmkDnoeLZJXoscEDdBRM=</DigestValue>
      </Reference>
      <Reference URI="/word/settings.xml?ContentType=application/vnd.openxmlformats-officedocument.wordprocessingml.settings+xml">
        <DigestMethod Algorithm="http://www.w3.org/2001/04/xmlenc#sha256"/>
        <DigestValue>Kg/WyFj1mVBr46JCP2YOpYOjZZcVYX+j5k6/Behox2k=</DigestValue>
      </Reference>
      <Reference URI="/word/styles.xml?ContentType=application/vnd.openxmlformats-officedocument.wordprocessingml.styles+xml">
        <DigestMethod Algorithm="http://www.w3.org/2001/04/xmlenc#sha256"/>
        <DigestValue>6KjfiCDmcdtXQuLzwq6vvJCGUQ7AFyN1GAXi4MqWZb4=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Dep6u9YrxL5MK7Z3tQf2LAzlXKGjNQ1nlCWBWk50U6s=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2022-09-23T16:38:58Z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</OfficeVersion>
          <ApplicationVersion>16.0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2022-09-23T16:38:58Z</xd:SigningTime>
          <xd:SigningCertificate>
            <xd:Cert>
              <xd:CertDigest>
                <DigestMethod Algorithm="http://www.w3.org/2001/04/xmlenc#sha256"/>
                <DigestValue>fRj4ZOLRLFjvZjtvik/Q5NugBxRGyGUwPvbYAclYFFg=</DigestValue>
              </xd:CertDigest>
              <xd:IssuerSerial>
                <X509IssuerName>CN=B-Trust Operational Qualified CA, OU=B-Trust, O=BORICA AD, OID.2.5.4.97=NTRBG-201230426, C=BG</X509IssuerName>
                <X509SerialNumber>8734414552128179179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6E426-46C9-4D1D-AB46-341D20CC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16</Pages>
  <Words>8709</Words>
  <Characters>49647</Characters>
  <Application>Microsoft Office Word</Application>
  <DocSecurity>0</DocSecurity>
  <Lines>413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Емил Нургалиев</dc:creator>
  <cp:lastModifiedBy>MARIYA ALENTINOVA HRISTOVA</cp:lastModifiedBy>
  <cp:revision>287</cp:revision>
  <cp:lastPrinted>2019-02-26T07:40:00Z</cp:lastPrinted>
  <dcterms:created xsi:type="dcterms:W3CDTF">2022-01-31T11:42:00Z</dcterms:created>
  <dcterms:modified xsi:type="dcterms:W3CDTF">2022-09-23T11:49:00Z</dcterms:modified>
</cp:coreProperties>
</file>